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B01C" w14:textId="77777777" w:rsidR="00CF103F" w:rsidRPr="00CF103F" w:rsidRDefault="00CF103F" w:rsidP="00CF103F">
      <w:pPr>
        <w:spacing w:after="0" w:line="240" w:lineRule="auto"/>
        <w:ind w:left="28" w:hanging="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3F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1E6211F8" w14:textId="77777777" w:rsidR="00CF103F" w:rsidRPr="00CF103F" w:rsidRDefault="00CF103F" w:rsidP="00C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3F">
        <w:rPr>
          <w:rFonts w:ascii="Times New Roman" w:eastAsia="Calibri" w:hAnsi="Times New Roman" w:cs="Times New Roman"/>
          <w:b/>
          <w:sz w:val="28"/>
          <w:szCs w:val="28"/>
        </w:rPr>
        <w:t xml:space="preserve">на проект Закона Республики Ингушетия «О бюджете </w:t>
      </w:r>
      <w:bookmarkStart w:id="0" w:name="_Hlk183524567"/>
      <w:r w:rsidRPr="00CF103F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Территориального фонда обязательного медицинского страхования Республики Ингушетия </w:t>
      </w:r>
      <w:bookmarkEnd w:id="0"/>
      <w:r w:rsidRPr="00CF103F">
        <w:rPr>
          <w:rFonts w:ascii="Times New Roman" w:eastAsia="Calibri" w:hAnsi="Times New Roman" w:cs="Times New Roman"/>
          <w:b/>
          <w:sz w:val="28"/>
          <w:szCs w:val="28"/>
        </w:rPr>
        <w:t>на 2025 год и на плановый период 2026 и 2027 годов»</w:t>
      </w:r>
    </w:p>
    <w:p w14:paraId="33580ADF" w14:textId="77777777" w:rsidR="00CF103F" w:rsidRPr="00CF103F" w:rsidRDefault="00CF103F" w:rsidP="00C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5D431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Заключение Контрольно-счетной палаты Республики Ингушетия по результатам экспертизы проекта закона Республики Ингушетия «О бюджете Территориального фонда обязательного медицинского страхования Республики Ингушетия на 2025 год и на плановый период 2026 и 2027 годов» (далее – Законопроект) подготовлено в соответствии с бюджетными полномочиями Контрольно-счетной палаты Республики Ингушетия, с учетом требований Бюджетного кодекса Российской Федерации, Закона Республики Ингушетия от 31.12.2008 № 40-РЗ «О бюджетном процессе в Республике Ингушетия», Закона Республики Ингушетия от 28.09.2011 № 27-РЗ «О Контрольно-счетной палате Республики Ингушетия».</w:t>
      </w:r>
    </w:p>
    <w:p w14:paraId="1BCA4B12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В соответствии с пунктом 2 статьи 17 Закона Республики Ингушетия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 xml:space="preserve">от 31.12.2008 № 40-РЗ «О бюджетном процессе в Республике Ингушетия», исполнительный орган государственной власти Республики Ингушетия, ведающий вопросами финансов (Министерство финансов Республики Ингушетия), принимает участие в разработке проекта бюджета Территориального фонда обязательного медицинского страхования Республики Ингушетия. </w:t>
      </w:r>
    </w:p>
    <w:p w14:paraId="3AAEC143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В соответствии с пунктом 17 статьи 19 Закона Республики Ингушетия от 31.12.2008 № 40-РЗ «О бюджетном процессе в Республике Ингушетия», проект Закона Республики Ингушетия «О бюджете Территориального фонда обязательного медицинского страхования Республики Ингушетия на 2025 год и на плановый период 2026 и 2027 годов» внесен на рассмотрение Народного Собрания Республики Ингушетия одновременно с проектом закона Республики Ингушетия о республиканском бюджете на очередной финансовый год и плановый период.</w:t>
      </w:r>
    </w:p>
    <w:p w14:paraId="5D390B5E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Согласно Законопроекту, доходы бюджета Территориального фонда обязательного медицинского страхования Республики Ингушетия (далее – ТФОМС РИ) на 2025 год прогнозируются в сумме 9 412 184,2 тыс. рублей, что составляет 117,8 % к утвержденному плану по доходам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 xml:space="preserve">ТФОМС РИ на 2024 год в сумме 7 985 445,7 тыс. рублей. </w:t>
      </w:r>
    </w:p>
    <w:p w14:paraId="707601CB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средств в бюджет ТФОМС РИ являются субвенции на финансовое обеспечение организации обязательного медицинского страхования на территории Республики Ингушетия. На 2025 год они предусмотрены в проекте бюджета ТФОМС РИ в сумме 9 185 002,9 тыс. </w:t>
      </w:r>
      <w:bookmarkStart w:id="1" w:name="_Hlk183524645"/>
      <w:r w:rsidRPr="00CF103F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Pr="00CF103F">
        <w:rPr>
          <w:rFonts w:ascii="Times New Roman" w:eastAsia="Calibri" w:hAnsi="Times New Roman" w:cs="Times New Roman"/>
          <w:sz w:val="28"/>
          <w:szCs w:val="28"/>
        </w:rPr>
        <w:t>, что составляет 97,5 % от общего объема доходов. Предусмотренная на 2025 год сумма по данному виду доходов превышает аналогичные доходы, утвержденные на 2024 год (7 737 138,5 тыс. рублей), на сумму 1 447 864,4 тыс. рублей или 18,7 %.</w:t>
      </w:r>
    </w:p>
    <w:p w14:paraId="7A2FB11E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Поступления доходов от компенсации затрат бюджета ТФОМС РИ предусмотрены в сумме 8 471,2 тыс. рублей, что на 6 248,9 тыс. рублей меньше утвержденных показателей по данному виду доходов за 2024 год в сумме 14 720,1 тыс. рублей.</w:t>
      </w:r>
    </w:p>
    <w:p w14:paraId="12AACD27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lastRenderedPageBreak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 предусмотрены в доходной части Законопроекта в сумме 658,1 тыс. рублей, что на 3 196,1 тыс. рублей меньше утвержденных назначений 2024 года или в 4,8 раза.</w:t>
      </w:r>
    </w:p>
    <w:p w14:paraId="3D8D1162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ТФОМС РИ), предусмотрены в сумме 15 190,1 тыс. рублей. Объем запланированных средств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>по данному виду доходов меньше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>утвержденных назначений на 2024 год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>на сумму 8 536,8 тыс. рублей или в 1,6 раза.</w:t>
      </w:r>
    </w:p>
    <w:p w14:paraId="67E0A9A0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Основным направлением расходования средств бюджета ТФОМС РИ является финансовое обеспечение организации обязательного медицинского страхования на территории Республики Ингушетия в рамках реализации государственных функций в области социальной политики по непрограммным направлениям деятельности (социальные выплаты гражданам, кроме публичных нормативных социальных выплат). На 2025 год по данному направлению в Законопроекте предусмотрены средства в сумме</w:t>
      </w:r>
      <w:r w:rsidRPr="00CF10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8 165 447,8 </w:t>
      </w:r>
      <w:r w:rsidRPr="00CF103F">
        <w:rPr>
          <w:rFonts w:ascii="Times New Roman" w:eastAsia="Calibri" w:hAnsi="Times New Roman" w:cs="Times New Roman"/>
          <w:sz w:val="28"/>
          <w:szCs w:val="28"/>
        </w:rPr>
        <w:t>тыс. рублей, что на 1 124 587,4 тыс. рублей превышает объем расходов, утвержденных по данному направлению в 2024 году в сумме 7 040 860,4 тыс. рублей (на 15,9 %).</w:t>
      </w:r>
    </w:p>
    <w:p w14:paraId="30D854D7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 xml:space="preserve">Вторым по объему направляемых для его реализации средств является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(межбюджетные трансферты бюджетам территориальных фондов обязательного медицинского страхования). По данному направлению на 2025 год предусмотрено средств в сумме </w:t>
      </w:r>
      <w:r w:rsidRPr="00CF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961 548,4 </w:t>
      </w:r>
      <w:r w:rsidRPr="00CF103F">
        <w:rPr>
          <w:rFonts w:ascii="Times New Roman" w:eastAsia="Calibri" w:hAnsi="Times New Roman" w:cs="Times New Roman"/>
          <w:sz w:val="28"/>
          <w:szCs w:val="28"/>
        </w:rPr>
        <w:t>тыс. рублей, что выше уровня утвержденных расходов на 2024 год (658 148,0</w:t>
      </w:r>
      <w:r w:rsidRPr="00CF103F">
        <w:rPr>
          <w:rFonts w:ascii="Calibri" w:eastAsia="Calibri" w:hAnsi="Calibri" w:cs="Times New Roman"/>
        </w:rPr>
        <w:t xml:space="preserve"> </w:t>
      </w:r>
      <w:r w:rsidRPr="00CF103F">
        <w:rPr>
          <w:rFonts w:ascii="Times New Roman" w:eastAsia="Calibri" w:hAnsi="Times New Roman" w:cs="Times New Roman"/>
          <w:sz w:val="28"/>
          <w:szCs w:val="28"/>
        </w:rPr>
        <w:t>тыс. рублей) на сумму 303 400,4 тыс. рублей или 46,1 %.</w:t>
      </w:r>
    </w:p>
    <w:p w14:paraId="763B7D4A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428122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left="2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3F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14:paraId="0960DBEF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left="2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E2067C" w14:textId="77777777" w:rsidR="00CF103F" w:rsidRPr="00CF103F" w:rsidRDefault="00CF103F" w:rsidP="00CF10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В результате проведенной экспертизы проекта закона Республики Ингушетия «О бюджете Территориального фонда обязательного медицинского страхования Республики Ингушетия на 2025 год и на плановый период 2026 и 2027годов» выявлены следующие нарушения и недостатки:</w:t>
      </w:r>
    </w:p>
    <w:p w14:paraId="711FB8C2" w14:textId="77777777" w:rsidR="00CF103F" w:rsidRPr="00CF103F" w:rsidRDefault="00CF103F" w:rsidP="00CF103F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В нарушение статьи 184.2, пункта 2 статьи 185 Бюджетного кодекса Российской Федерации, в составе документов и материалов, представляемых одновременно с проектом закона ТФОМС РИ, не представлена оценка ожидаемого исполнения бюджета на текущий финансовый год.</w:t>
      </w:r>
    </w:p>
    <w:p w14:paraId="39293195" w14:textId="2A7A3758" w:rsidR="00CF103F" w:rsidRPr="00CF103F" w:rsidRDefault="00CF103F" w:rsidP="00CF103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Пояснительная записка не содержит информацию о показателях, характеризующих ожидаемый результат использования бюджетных ассигнований, пояснения ожидаемых результатов от использования бюджетных ассигнований и характеристику планируемых изменений (количественных и качественных).</w:t>
      </w:r>
    </w:p>
    <w:p w14:paraId="7C5FEF33" w14:textId="77777777" w:rsidR="00CF103F" w:rsidRPr="00CF103F" w:rsidRDefault="00CF103F" w:rsidP="00CF103F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Предложения:</w:t>
      </w:r>
    </w:p>
    <w:p w14:paraId="07688213" w14:textId="77777777" w:rsidR="00CF103F" w:rsidRPr="00CF103F" w:rsidRDefault="00CF103F" w:rsidP="00CF10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2C0D5" w14:textId="77777777" w:rsidR="00CF103F" w:rsidRPr="00CF103F" w:rsidRDefault="00CF103F" w:rsidP="00CF10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3F">
        <w:rPr>
          <w:rFonts w:ascii="Times New Roman" w:eastAsia="Calibri" w:hAnsi="Times New Roman" w:cs="Times New Roman"/>
          <w:sz w:val="28"/>
          <w:szCs w:val="28"/>
        </w:rPr>
        <w:t>Контрольно-счетная палата Республики Ингушетия считает возможным рассмотрение Народным Собранием Республики Ингушетия проекта закона Республики Ингушетия «О бюджете Территориального фонда обязательного медицинского страхования Республики Ингушетия на 2025 год и на плановый период 2026 и 2027 годов» с учетом изложенных замечаний.</w:t>
      </w:r>
    </w:p>
    <w:p w14:paraId="23013FEC" w14:textId="0B180BFC" w:rsidR="00C35711" w:rsidRPr="003B69B5" w:rsidRDefault="00C35711" w:rsidP="003B69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5711" w:rsidRPr="003B69B5" w:rsidSect="00CF103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1407" w14:textId="77777777" w:rsidR="00473737" w:rsidRDefault="00473737" w:rsidP="001540C7">
      <w:pPr>
        <w:spacing w:after="0" w:line="240" w:lineRule="auto"/>
      </w:pPr>
      <w:r>
        <w:separator/>
      </w:r>
    </w:p>
  </w:endnote>
  <w:endnote w:type="continuationSeparator" w:id="0">
    <w:p w14:paraId="4CD044E2" w14:textId="77777777" w:rsidR="00473737" w:rsidRDefault="00473737" w:rsidP="0015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464455"/>
      <w:docPartObj>
        <w:docPartGallery w:val="Page Numbers (Bottom of Page)"/>
        <w:docPartUnique/>
      </w:docPartObj>
    </w:sdtPr>
    <w:sdtEndPr/>
    <w:sdtContent>
      <w:p w14:paraId="01377E8C" w14:textId="77777777" w:rsidR="001540C7" w:rsidRDefault="001540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9B">
          <w:rPr>
            <w:noProof/>
          </w:rPr>
          <w:t>3</w:t>
        </w:r>
        <w:r>
          <w:fldChar w:fldCharType="end"/>
        </w:r>
      </w:p>
    </w:sdtContent>
  </w:sdt>
  <w:p w14:paraId="48FE83EC" w14:textId="77777777" w:rsidR="001540C7" w:rsidRDefault="001540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EE0A" w14:textId="77777777" w:rsidR="00473737" w:rsidRDefault="00473737" w:rsidP="001540C7">
      <w:pPr>
        <w:spacing w:after="0" w:line="240" w:lineRule="auto"/>
      </w:pPr>
      <w:r>
        <w:separator/>
      </w:r>
    </w:p>
  </w:footnote>
  <w:footnote w:type="continuationSeparator" w:id="0">
    <w:p w14:paraId="6AF375B0" w14:textId="77777777" w:rsidR="00473737" w:rsidRDefault="00473737" w:rsidP="0015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161C"/>
    <w:multiLevelType w:val="hybridMultilevel"/>
    <w:tmpl w:val="9934DE40"/>
    <w:lvl w:ilvl="0" w:tplc="8A9C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9A"/>
    <w:rsid w:val="000008B0"/>
    <w:rsid w:val="00032A70"/>
    <w:rsid w:val="000755BF"/>
    <w:rsid w:val="00075AF3"/>
    <w:rsid w:val="000B2570"/>
    <w:rsid w:val="000F7787"/>
    <w:rsid w:val="000F796B"/>
    <w:rsid w:val="001052D1"/>
    <w:rsid w:val="00132655"/>
    <w:rsid w:val="001540C7"/>
    <w:rsid w:val="001858F0"/>
    <w:rsid w:val="001924A7"/>
    <w:rsid w:val="001C21B5"/>
    <w:rsid w:val="001C7DCF"/>
    <w:rsid w:val="00210ED2"/>
    <w:rsid w:val="00220BF2"/>
    <w:rsid w:val="002231E9"/>
    <w:rsid w:val="0027079A"/>
    <w:rsid w:val="00282417"/>
    <w:rsid w:val="0028496B"/>
    <w:rsid w:val="0029157B"/>
    <w:rsid w:val="002A2B94"/>
    <w:rsid w:val="002C101A"/>
    <w:rsid w:val="00304BAC"/>
    <w:rsid w:val="00305AA6"/>
    <w:rsid w:val="0033029C"/>
    <w:rsid w:val="0035757B"/>
    <w:rsid w:val="003A0B96"/>
    <w:rsid w:val="003A32BC"/>
    <w:rsid w:val="003A4DAF"/>
    <w:rsid w:val="003B69B5"/>
    <w:rsid w:val="003D2C68"/>
    <w:rsid w:val="003E370E"/>
    <w:rsid w:val="00403F99"/>
    <w:rsid w:val="00473737"/>
    <w:rsid w:val="0048492C"/>
    <w:rsid w:val="00496BB1"/>
    <w:rsid w:val="004F62F0"/>
    <w:rsid w:val="00527623"/>
    <w:rsid w:val="00530254"/>
    <w:rsid w:val="00556FC2"/>
    <w:rsid w:val="005669F4"/>
    <w:rsid w:val="005743A3"/>
    <w:rsid w:val="005D39CB"/>
    <w:rsid w:val="005E049F"/>
    <w:rsid w:val="005E2482"/>
    <w:rsid w:val="006030B6"/>
    <w:rsid w:val="00607D44"/>
    <w:rsid w:val="00670778"/>
    <w:rsid w:val="00670D5D"/>
    <w:rsid w:val="00676612"/>
    <w:rsid w:val="00687874"/>
    <w:rsid w:val="006C3DC9"/>
    <w:rsid w:val="006E7DBA"/>
    <w:rsid w:val="006F3BFC"/>
    <w:rsid w:val="006F3F93"/>
    <w:rsid w:val="007048A0"/>
    <w:rsid w:val="007059BC"/>
    <w:rsid w:val="007567EF"/>
    <w:rsid w:val="00765284"/>
    <w:rsid w:val="00771F76"/>
    <w:rsid w:val="007742B6"/>
    <w:rsid w:val="007A22CF"/>
    <w:rsid w:val="007E7E41"/>
    <w:rsid w:val="007F44FE"/>
    <w:rsid w:val="00807209"/>
    <w:rsid w:val="008649E6"/>
    <w:rsid w:val="008E2468"/>
    <w:rsid w:val="00910031"/>
    <w:rsid w:val="00984D19"/>
    <w:rsid w:val="009C071E"/>
    <w:rsid w:val="009D03BC"/>
    <w:rsid w:val="009E45AA"/>
    <w:rsid w:val="00A14A36"/>
    <w:rsid w:val="00A477D9"/>
    <w:rsid w:val="00A60899"/>
    <w:rsid w:val="00A66C60"/>
    <w:rsid w:val="00A813C1"/>
    <w:rsid w:val="00AC4765"/>
    <w:rsid w:val="00AF423D"/>
    <w:rsid w:val="00B1360D"/>
    <w:rsid w:val="00B7017B"/>
    <w:rsid w:val="00B72511"/>
    <w:rsid w:val="00B874E0"/>
    <w:rsid w:val="00BE602E"/>
    <w:rsid w:val="00BF2887"/>
    <w:rsid w:val="00BF509B"/>
    <w:rsid w:val="00C35711"/>
    <w:rsid w:val="00C603D4"/>
    <w:rsid w:val="00C61EE6"/>
    <w:rsid w:val="00C91D5C"/>
    <w:rsid w:val="00CB161B"/>
    <w:rsid w:val="00CB6607"/>
    <w:rsid w:val="00CD7103"/>
    <w:rsid w:val="00CD73CB"/>
    <w:rsid w:val="00CF103F"/>
    <w:rsid w:val="00D017A0"/>
    <w:rsid w:val="00D0509A"/>
    <w:rsid w:val="00D16B09"/>
    <w:rsid w:val="00D36F0B"/>
    <w:rsid w:val="00D74BBF"/>
    <w:rsid w:val="00D84343"/>
    <w:rsid w:val="00DB4B3B"/>
    <w:rsid w:val="00E30377"/>
    <w:rsid w:val="00E34165"/>
    <w:rsid w:val="00E37784"/>
    <w:rsid w:val="00E6373E"/>
    <w:rsid w:val="00E91350"/>
    <w:rsid w:val="00EB5D3B"/>
    <w:rsid w:val="00ED0A51"/>
    <w:rsid w:val="00ED78B1"/>
    <w:rsid w:val="00EE6326"/>
    <w:rsid w:val="00EF14D2"/>
    <w:rsid w:val="00F17D4B"/>
    <w:rsid w:val="00F34E58"/>
    <w:rsid w:val="00F500CE"/>
    <w:rsid w:val="00F61B8B"/>
    <w:rsid w:val="00F92CAD"/>
    <w:rsid w:val="00FD253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8EF"/>
  <w15:chartTrackingRefBased/>
  <w15:docId w15:val="{A3B5B6E6-9CB7-4D0D-A6E4-538D222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0C7"/>
  </w:style>
  <w:style w:type="paragraph" w:styleId="a5">
    <w:name w:val="footer"/>
    <w:basedOn w:val="a"/>
    <w:link w:val="a6"/>
    <w:uiPriority w:val="99"/>
    <w:unhideWhenUsed/>
    <w:rsid w:val="0015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0C7"/>
  </w:style>
  <w:style w:type="paragraph" w:styleId="a7">
    <w:name w:val="Balloon Text"/>
    <w:basedOn w:val="a"/>
    <w:link w:val="a8"/>
    <w:uiPriority w:val="99"/>
    <w:semiHidden/>
    <w:unhideWhenUsed/>
    <w:rsid w:val="0075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7E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9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audi3</dc:creator>
  <cp:keywords/>
  <dc:description/>
  <cp:lastModifiedBy>ОКА</cp:lastModifiedBy>
  <cp:revision>6</cp:revision>
  <cp:lastPrinted>2024-11-11T11:49:00Z</cp:lastPrinted>
  <dcterms:created xsi:type="dcterms:W3CDTF">2024-11-11T10:38:00Z</dcterms:created>
  <dcterms:modified xsi:type="dcterms:W3CDTF">2024-12-04T09:26:00Z</dcterms:modified>
</cp:coreProperties>
</file>