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15E4E" w14:textId="77777777" w:rsidR="003339CE" w:rsidRPr="005C53F5" w:rsidRDefault="003339CE" w:rsidP="002F220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C53F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Контрольно-счЕтная палата</w:t>
      </w:r>
    </w:p>
    <w:p w14:paraId="354B870A" w14:textId="77777777" w:rsidR="003339CE" w:rsidRPr="005C53F5" w:rsidRDefault="003339CE" w:rsidP="002F220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C53F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РЕСПУБЛИКИ ИНГУШЕТИЯ</w:t>
      </w:r>
    </w:p>
    <w:p w14:paraId="2D886705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E5033B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B9D529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3360DC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2179F08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3CB7D8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765AD50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2B6B9B8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6FF91A5" w14:textId="77777777" w:rsidR="003339CE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8363EC" w14:textId="77777777" w:rsidR="003339CE" w:rsidRPr="005C53F5" w:rsidRDefault="003339CE" w:rsidP="003339C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9D2DAC" w14:textId="6C2C1232" w:rsidR="003339CE" w:rsidRPr="005C53F5" w:rsidRDefault="003339CE" w:rsidP="003339CE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5C53F5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 xml:space="preserve">Стандарт </w:t>
      </w:r>
      <w:r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 xml:space="preserve">внешнего </w:t>
      </w:r>
      <w:r w:rsidR="00FD13D5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 xml:space="preserve">государственного </w:t>
      </w:r>
      <w:r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 xml:space="preserve">финансового контроля </w:t>
      </w:r>
    </w:p>
    <w:p w14:paraId="11373A0B" w14:textId="74D42B7D" w:rsidR="003339CE" w:rsidRDefault="003339CE" w:rsidP="002F220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4"/>
          <w:szCs w:val="34"/>
        </w:rPr>
      </w:pPr>
      <w:r w:rsidRPr="005C53F5">
        <w:rPr>
          <w:rFonts w:ascii="Times New Roman" w:eastAsia="Calibri" w:hAnsi="Times New Roman" w:cs="Times New Roman"/>
          <w:b/>
          <w:sz w:val="34"/>
          <w:szCs w:val="34"/>
        </w:rPr>
        <w:t xml:space="preserve"> </w:t>
      </w:r>
      <w:bookmarkStart w:id="0" w:name="_Hlk241229167"/>
      <w:r w:rsidR="002F220C" w:rsidRPr="002F220C">
        <w:rPr>
          <w:rFonts w:ascii="Times New Roman" w:eastAsia="Calibri" w:hAnsi="Times New Roman" w:cs="Times New Roman"/>
          <w:b/>
          <w:sz w:val="34"/>
          <w:szCs w:val="34"/>
        </w:rPr>
        <w:t>«Риск-ориентированный подход в контрольной и экспертно</w:t>
      </w:r>
      <w:r w:rsidR="002F220C">
        <w:rPr>
          <w:rFonts w:ascii="Times New Roman" w:eastAsia="Calibri" w:hAnsi="Times New Roman" w:cs="Times New Roman"/>
          <w:b/>
          <w:sz w:val="34"/>
          <w:szCs w:val="34"/>
        </w:rPr>
        <w:t>-</w:t>
      </w:r>
      <w:r w:rsidR="002F220C" w:rsidRPr="002F220C">
        <w:rPr>
          <w:rFonts w:ascii="Times New Roman" w:eastAsia="Calibri" w:hAnsi="Times New Roman" w:cs="Times New Roman"/>
          <w:b/>
          <w:sz w:val="34"/>
          <w:szCs w:val="34"/>
        </w:rPr>
        <w:t xml:space="preserve"> аналитической деятельности»</w:t>
      </w:r>
      <w:bookmarkEnd w:id="0"/>
    </w:p>
    <w:p w14:paraId="0A955DFD" w14:textId="77777777" w:rsidR="002F220C" w:rsidRPr="005C53F5" w:rsidRDefault="002F220C" w:rsidP="002F220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34"/>
          <w:szCs w:val="34"/>
        </w:rPr>
      </w:pPr>
    </w:p>
    <w:p w14:paraId="0EBA6149" w14:textId="42B245D8" w:rsidR="003339CE" w:rsidRDefault="003339CE" w:rsidP="003339CE">
      <w:pPr>
        <w:widowControl w:val="0"/>
        <w:overflowPunct w:val="0"/>
        <w:autoSpaceDE w:val="0"/>
        <w:autoSpaceDN w:val="0"/>
        <w:adjustRightInd w:val="0"/>
        <w:spacing w:after="0"/>
        <w:ind w:right="140" w:firstLine="1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(Утвержден приказом Председателя Контрольно-счетной палаты Республики Ингушетия от «</w:t>
      </w:r>
      <w:r w:rsidR="00A635E8">
        <w:rPr>
          <w:rFonts w:ascii="Times New Roman" w:hAnsi="Times New Roman" w:cs="Times New Roman"/>
          <w:i/>
          <w:iCs/>
          <w:sz w:val="24"/>
          <w:szCs w:val="24"/>
        </w:rPr>
        <w:t>25</w:t>
      </w:r>
      <w:r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A635E8">
        <w:rPr>
          <w:rFonts w:ascii="Times New Roman" w:hAnsi="Times New Roman" w:cs="Times New Roman"/>
          <w:i/>
          <w:iCs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20</w:t>
      </w:r>
      <w:r w:rsidR="002F220C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="00BB3E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№</w:t>
      </w:r>
      <w:r w:rsidR="00A635E8">
        <w:rPr>
          <w:rFonts w:ascii="Times New Roman" w:hAnsi="Times New Roman" w:cs="Times New Roman"/>
          <w:i/>
          <w:iCs/>
          <w:sz w:val="24"/>
          <w:szCs w:val="24"/>
        </w:rPr>
        <w:t xml:space="preserve"> 58 О/Д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(протокол</w:t>
      </w:r>
      <w:r w:rsidRPr="00150F30">
        <w:rPr>
          <w:rFonts w:ascii="Times New Roman" w:hAnsi="Times New Roman" w:cs="Times New Roman"/>
          <w:i/>
          <w:iCs/>
          <w:sz w:val="24"/>
          <w:szCs w:val="24"/>
        </w:rPr>
        <w:t xml:space="preserve"> Коллегии </w:t>
      </w:r>
      <w:r>
        <w:rPr>
          <w:rFonts w:ascii="Times New Roman" w:hAnsi="Times New Roman" w:cs="Times New Roman"/>
          <w:i/>
          <w:iCs/>
          <w:sz w:val="24"/>
          <w:szCs w:val="24"/>
        </w:rPr>
        <w:t>Контрольно-счетной</w:t>
      </w:r>
      <w:r w:rsidRPr="00150F30">
        <w:rPr>
          <w:rFonts w:ascii="Times New Roman" w:hAnsi="Times New Roman" w:cs="Times New Roman"/>
          <w:i/>
          <w:iCs/>
          <w:sz w:val="24"/>
          <w:szCs w:val="24"/>
        </w:rPr>
        <w:t xml:space="preserve"> палаты Республики </w:t>
      </w:r>
      <w:r>
        <w:rPr>
          <w:rFonts w:ascii="Times New Roman" w:hAnsi="Times New Roman" w:cs="Times New Roman"/>
          <w:i/>
          <w:iCs/>
          <w:sz w:val="24"/>
          <w:szCs w:val="24"/>
        </w:rPr>
        <w:t>Ингушетия</w:t>
      </w:r>
      <w:r w:rsidRPr="00150F30">
        <w:rPr>
          <w:rFonts w:ascii="Times New Roman" w:hAnsi="Times New Roman" w:cs="Times New Roman"/>
          <w:i/>
          <w:iCs/>
          <w:sz w:val="24"/>
          <w:szCs w:val="24"/>
        </w:rPr>
        <w:t xml:space="preserve"> от «</w:t>
      </w:r>
      <w:r w:rsidR="00A635E8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150F30">
        <w:rPr>
          <w:rFonts w:ascii="Times New Roman" w:hAnsi="Times New Roman" w:cs="Times New Roman"/>
          <w:i/>
          <w:iCs/>
          <w:sz w:val="24"/>
          <w:szCs w:val="24"/>
        </w:rPr>
        <w:t>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635E8">
        <w:rPr>
          <w:rFonts w:ascii="Times New Roman" w:hAnsi="Times New Roman" w:cs="Times New Roman"/>
          <w:i/>
          <w:iCs/>
          <w:sz w:val="24"/>
          <w:szCs w:val="24"/>
        </w:rPr>
        <w:t>сентября</w:t>
      </w:r>
      <w:r w:rsidRPr="00150F3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="002F220C">
        <w:rPr>
          <w:rFonts w:ascii="Times New Roman" w:hAnsi="Times New Roman" w:cs="Times New Roman"/>
          <w:i/>
          <w:iCs/>
          <w:sz w:val="24"/>
          <w:szCs w:val="24"/>
        </w:rPr>
        <w:t>26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№</w:t>
      </w:r>
      <w:r w:rsidR="00A635E8">
        <w:rPr>
          <w:rFonts w:ascii="Times New Roman" w:hAnsi="Times New Roman" w:cs="Times New Roman"/>
          <w:i/>
          <w:iCs/>
          <w:sz w:val="24"/>
          <w:szCs w:val="24"/>
        </w:rPr>
        <w:t xml:space="preserve"> 33</w:t>
      </w:r>
      <w:bookmarkStart w:id="1" w:name="_GoBack"/>
      <w:bookmarkEnd w:id="1"/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F32E438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A02BE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84163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1514D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8C4C0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0C20E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177CA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D5F05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3061B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ADF1A1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1B93B0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DBDD9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911CA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DC31B3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B662A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B0D55" w14:textId="77777777" w:rsidR="003339CE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B58EE" w14:textId="77777777" w:rsidR="003339CE" w:rsidRPr="002F220C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2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МАГАС</w:t>
      </w:r>
    </w:p>
    <w:p w14:paraId="0C0FA79D" w14:textId="66AFF184" w:rsidR="003339CE" w:rsidRPr="002F220C" w:rsidRDefault="003339CE" w:rsidP="003339CE">
      <w:pPr>
        <w:spacing w:after="0" w:line="288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2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2F220C" w:rsidRPr="002F2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26 </w:t>
      </w:r>
      <w:r w:rsidRPr="002F2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2F2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</w:t>
      </w:r>
    </w:p>
    <w:p w14:paraId="4F9DDCF8" w14:textId="77777777" w:rsidR="003339CE" w:rsidRPr="00150F30" w:rsidRDefault="003339CE" w:rsidP="003339CE">
      <w:pPr>
        <w:widowControl w:val="0"/>
        <w:overflowPunct w:val="0"/>
        <w:autoSpaceDE w:val="0"/>
        <w:autoSpaceDN w:val="0"/>
        <w:adjustRightInd w:val="0"/>
        <w:spacing w:after="0"/>
        <w:ind w:right="140" w:firstLine="14"/>
        <w:jc w:val="center"/>
        <w:rPr>
          <w:rFonts w:ascii="Times New Roman" w:hAnsi="Times New Roman" w:cs="Times New Roman"/>
          <w:sz w:val="24"/>
          <w:szCs w:val="24"/>
        </w:rPr>
        <w:sectPr w:rsidR="003339CE" w:rsidRPr="00150F30" w:rsidSect="00D1551A">
          <w:footerReference w:type="default" r:id="rId7"/>
          <w:pgSz w:w="11900" w:h="16838"/>
          <w:pgMar w:top="1125" w:right="843" w:bottom="709" w:left="1134" w:header="720" w:footer="720" w:gutter="0"/>
          <w:cols w:space="720" w:equalWidth="0">
            <w:col w:w="9644"/>
          </w:cols>
          <w:noEndnote/>
        </w:sectPr>
      </w:pPr>
    </w:p>
    <w:p w14:paraId="7632F300" w14:textId="1C6C9BAF" w:rsidR="003339CE" w:rsidRDefault="003339CE" w:rsidP="0033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5C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3683B8CF" w14:textId="34E6FC5F" w:rsidR="00C2597F" w:rsidRPr="00C2597F" w:rsidRDefault="00C2597F" w:rsidP="00C259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nos" w:eastAsia="Tinos" w:hAnsi="Tinos" w:cs="Tinos"/>
          <w:sz w:val="28"/>
        </w:rPr>
      </w:pPr>
    </w:p>
    <w:p w14:paraId="76559F82" w14:textId="0783ACDF" w:rsidR="00C2597F" w:rsidRPr="00C2597F" w:rsidRDefault="00BB3E60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contextualSpacing/>
        <w:jc w:val="both"/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t xml:space="preserve">1. </w:t>
      </w:r>
      <w:r w:rsidR="00C2597F" w:rsidRPr="00C2597F">
        <w:rPr>
          <w:rFonts w:ascii="Tinos" w:eastAsia="Tinos" w:hAnsi="Tinos" w:cs="Tinos"/>
          <w:sz w:val="28"/>
        </w:rPr>
        <w:t>Общ</w:t>
      </w:r>
      <w:r>
        <w:rPr>
          <w:rFonts w:ascii="Tinos" w:eastAsia="Tinos" w:hAnsi="Tinos" w:cs="Tinos"/>
          <w:sz w:val="28"/>
        </w:rPr>
        <w:t>и</w:t>
      </w:r>
      <w:r w:rsidR="00C2597F" w:rsidRPr="00C2597F">
        <w:rPr>
          <w:rFonts w:ascii="Tinos" w:eastAsia="Tinos" w:hAnsi="Tinos" w:cs="Tinos"/>
          <w:sz w:val="28"/>
        </w:rPr>
        <w:t>е положени</w:t>
      </w:r>
      <w:r>
        <w:rPr>
          <w:rFonts w:ascii="Tinos" w:eastAsia="Tinos" w:hAnsi="Tinos" w:cs="Tinos"/>
          <w:sz w:val="28"/>
        </w:rPr>
        <w:t>я</w:t>
      </w:r>
      <w:r w:rsidR="00C2597F" w:rsidRPr="00C2597F">
        <w:rPr>
          <w:rFonts w:ascii="Tinos" w:eastAsia="Tinos" w:hAnsi="Tinos" w:cs="Tinos"/>
          <w:sz w:val="28"/>
        </w:rPr>
        <w:t xml:space="preserve">                                                                                         </w:t>
      </w:r>
      <w:r>
        <w:rPr>
          <w:rFonts w:ascii="Tinos" w:eastAsia="Tinos" w:hAnsi="Tinos" w:cs="Tinos"/>
          <w:sz w:val="28"/>
        </w:rPr>
        <w:t xml:space="preserve">      </w:t>
      </w:r>
      <w:r w:rsidR="00C2597F" w:rsidRPr="00C2597F">
        <w:rPr>
          <w:rFonts w:ascii="Tinos" w:eastAsia="Tinos" w:hAnsi="Tinos" w:cs="Tinos"/>
          <w:sz w:val="28"/>
        </w:rPr>
        <w:t>3</w:t>
      </w:r>
    </w:p>
    <w:p w14:paraId="4DD534EA" w14:textId="16451E46" w:rsidR="00C2597F" w:rsidRPr="00C2597F" w:rsidRDefault="00BB3E60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contextualSpacing/>
        <w:jc w:val="both"/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t xml:space="preserve">2. </w:t>
      </w:r>
      <w:r w:rsidR="00C2597F" w:rsidRPr="00C2597F">
        <w:rPr>
          <w:rFonts w:ascii="Tinos" w:eastAsia="Tinos" w:hAnsi="Tinos" w:cs="Tinos"/>
          <w:sz w:val="28"/>
        </w:rPr>
        <w:t xml:space="preserve">Основы применения риск-ориентированного подхода                             </w:t>
      </w:r>
      <w:r>
        <w:rPr>
          <w:rFonts w:ascii="Tinos" w:eastAsia="Tinos" w:hAnsi="Tinos" w:cs="Tinos"/>
          <w:sz w:val="28"/>
        </w:rPr>
        <w:t xml:space="preserve">      </w:t>
      </w:r>
      <w:r w:rsidR="00C2597F" w:rsidRPr="00C2597F">
        <w:rPr>
          <w:rFonts w:ascii="Tinos" w:eastAsia="Tinos" w:hAnsi="Tinos" w:cs="Tinos"/>
          <w:sz w:val="28"/>
        </w:rPr>
        <w:t>5</w:t>
      </w:r>
    </w:p>
    <w:p w14:paraId="075BC410" w14:textId="5C064FA8" w:rsidR="00C2597F" w:rsidRPr="00C2597F" w:rsidRDefault="00C2597F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  <w:r w:rsidRPr="00C2597F">
        <w:rPr>
          <w:rFonts w:ascii="Tinos" w:eastAsia="Tinos" w:hAnsi="Tinos" w:cs="Tinos"/>
          <w:sz w:val="28"/>
        </w:rPr>
        <w:t>2.1</w:t>
      </w:r>
      <w:r w:rsidR="0011606C">
        <w:rPr>
          <w:rFonts w:ascii="Tinos" w:eastAsia="Tinos" w:hAnsi="Tinos" w:cs="Tinos"/>
          <w:sz w:val="28"/>
        </w:rPr>
        <w:t>.</w:t>
      </w:r>
      <w:r w:rsidRPr="00C2597F">
        <w:rPr>
          <w:rFonts w:ascii="Tinos" w:eastAsia="Tinos" w:hAnsi="Tinos" w:cs="Tinos"/>
          <w:sz w:val="28"/>
        </w:rPr>
        <w:t xml:space="preserve"> Применение риск-ориентированного подхода при планировании</w:t>
      </w:r>
      <w:r w:rsidR="0011606C">
        <w:rPr>
          <w:rFonts w:ascii="Tinos" w:eastAsia="Tinos" w:hAnsi="Tinos" w:cs="Tinos"/>
          <w:sz w:val="28"/>
        </w:rPr>
        <w:t xml:space="preserve"> </w:t>
      </w:r>
      <w:r w:rsidRPr="00C2597F">
        <w:rPr>
          <w:rFonts w:ascii="Tinos" w:eastAsia="Tinos" w:hAnsi="Tinos" w:cs="Tinos"/>
          <w:sz w:val="28"/>
        </w:rPr>
        <w:t xml:space="preserve">контрольной </w:t>
      </w:r>
      <w:r w:rsidR="0011606C">
        <w:rPr>
          <w:rFonts w:ascii="Tinos" w:eastAsia="Tinos" w:hAnsi="Tinos" w:cs="Tinos"/>
          <w:sz w:val="28"/>
        </w:rPr>
        <w:t xml:space="preserve">и </w:t>
      </w:r>
      <w:r w:rsidRPr="00C2597F">
        <w:rPr>
          <w:rFonts w:ascii="Tinos" w:eastAsia="Tinos" w:hAnsi="Tinos" w:cs="Tinos"/>
          <w:sz w:val="28"/>
        </w:rPr>
        <w:t>экспертно-аналитической деятельности                                     5</w:t>
      </w:r>
    </w:p>
    <w:p w14:paraId="6DEB99FF" w14:textId="2B93F19D" w:rsidR="00C2597F" w:rsidRPr="00010AF9" w:rsidRDefault="00C2597F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  <w:r w:rsidRPr="00010AF9">
        <w:rPr>
          <w:rFonts w:ascii="Tinos" w:eastAsia="Tinos" w:hAnsi="Tinos" w:cs="Tinos"/>
          <w:sz w:val="28"/>
        </w:rPr>
        <w:t>2.2</w:t>
      </w:r>
      <w:r w:rsidR="0011606C" w:rsidRPr="00010AF9">
        <w:rPr>
          <w:rFonts w:ascii="Tinos" w:eastAsia="Tinos" w:hAnsi="Tinos" w:cs="Tinos"/>
          <w:sz w:val="28"/>
        </w:rPr>
        <w:t>.</w:t>
      </w:r>
      <w:r w:rsidRPr="00010AF9">
        <w:rPr>
          <w:rFonts w:ascii="Tinos" w:eastAsia="Tinos" w:hAnsi="Tinos" w:cs="Tinos"/>
          <w:sz w:val="28"/>
        </w:rPr>
        <w:t xml:space="preserve"> Применение риск-ориентированного подхода при подготовке к проведению контрольного </w:t>
      </w:r>
      <w:r w:rsidR="00996336" w:rsidRPr="00010AF9">
        <w:rPr>
          <w:rFonts w:ascii="Tinos" w:eastAsia="Tinos" w:hAnsi="Tinos" w:cs="Tinos"/>
          <w:sz w:val="28"/>
        </w:rPr>
        <w:t>(</w:t>
      </w:r>
      <w:r w:rsidRPr="00010AF9">
        <w:rPr>
          <w:rFonts w:ascii="Tinos" w:eastAsia="Tinos" w:hAnsi="Tinos" w:cs="Tinos"/>
          <w:sz w:val="28"/>
        </w:rPr>
        <w:t>экспертно-аналитическо</w:t>
      </w:r>
      <w:r w:rsidR="0011606C" w:rsidRPr="00010AF9">
        <w:rPr>
          <w:rFonts w:ascii="Tinos" w:eastAsia="Tinos" w:hAnsi="Tinos" w:cs="Tinos"/>
          <w:sz w:val="28"/>
        </w:rPr>
        <w:t>го</w:t>
      </w:r>
      <w:r w:rsidR="00996336" w:rsidRPr="00010AF9">
        <w:rPr>
          <w:rFonts w:ascii="Tinos" w:eastAsia="Tinos" w:hAnsi="Tinos" w:cs="Tinos"/>
          <w:sz w:val="28"/>
        </w:rPr>
        <w:t>)</w:t>
      </w:r>
      <w:r w:rsidRPr="00010AF9">
        <w:rPr>
          <w:rFonts w:ascii="Tinos" w:eastAsia="Tinos" w:hAnsi="Tinos" w:cs="Tinos"/>
          <w:sz w:val="28"/>
        </w:rPr>
        <w:t xml:space="preserve"> мероприятия ………</w:t>
      </w:r>
      <w:r w:rsidR="00010AF9" w:rsidRPr="00010AF9">
        <w:rPr>
          <w:rFonts w:ascii="Tinos" w:eastAsia="Tinos" w:hAnsi="Tinos" w:cs="Tinos"/>
          <w:sz w:val="28"/>
        </w:rPr>
        <w:t xml:space="preserve"> </w:t>
      </w:r>
      <w:r w:rsidRPr="00010AF9">
        <w:rPr>
          <w:rFonts w:ascii="Tinos" w:eastAsia="Tinos" w:hAnsi="Tinos" w:cs="Tinos"/>
          <w:sz w:val="28"/>
        </w:rPr>
        <w:t>6</w:t>
      </w:r>
    </w:p>
    <w:p w14:paraId="027FB0A5" w14:textId="528F0A82" w:rsidR="00C2597F" w:rsidRPr="00C2597F" w:rsidRDefault="00B139FE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  <w:r w:rsidRPr="00010AF9">
        <w:rPr>
          <w:rFonts w:ascii="Tinos" w:eastAsia="Tinos" w:hAnsi="Tinos" w:cs="Tinos"/>
          <w:sz w:val="28"/>
        </w:rPr>
        <w:t xml:space="preserve">3. Заключительные положения                                           </w:t>
      </w:r>
      <w:r w:rsidR="00C2597F" w:rsidRPr="00010AF9">
        <w:rPr>
          <w:rFonts w:ascii="Tinos" w:eastAsia="Tinos" w:hAnsi="Tinos" w:cs="Tinos"/>
          <w:sz w:val="28"/>
        </w:rPr>
        <w:t xml:space="preserve">                                   </w:t>
      </w:r>
      <w:r w:rsidR="00010AF9">
        <w:rPr>
          <w:rFonts w:ascii="Tinos" w:eastAsia="Tinos" w:hAnsi="Tinos" w:cs="Tinos"/>
          <w:sz w:val="28"/>
        </w:rPr>
        <w:t xml:space="preserve"> 7</w:t>
      </w:r>
    </w:p>
    <w:p w14:paraId="77A857B8" w14:textId="77777777" w:rsidR="00C2597F" w:rsidRPr="00C2597F" w:rsidRDefault="00C2597F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</w:p>
    <w:p w14:paraId="103A2D61" w14:textId="5771ED85" w:rsidR="00C2597F" w:rsidRPr="00010AF9" w:rsidRDefault="00C2597F" w:rsidP="0011606C">
      <w:pPr>
        <w:widowControl w:val="0"/>
        <w:spacing w:after="0" w:line="242" w:lineRule="auto"/>
        <w:jc w:val="both"/>
        <w:rPr>
          <w:rFonts w:ascii="Tinos" w:eastAsia="Tinos" w:hAnsi="Tinos" w:cs="Tinos"/>
          <w:sz w:val="28"/>
        </w:rPr>
      </w:pPr>
      <w:r w:rsidRPr="00C2597F">
        <w:rPr>
          <w:rFonts w:ascii="Tinos" w:eastAsia="Tinos" w:hAnsi="Tinos" w:cs="Tinos"/>
          <w:bCs/>
          <w:sz w:val="28"/>
        </w:rPr>
        <w:t xml:space="preserve">Приложение 1. Базовые риски, подлежащие оценке при планировании деятельности </w:t>
      </w:r>
      <w:r w:rsidR="00010AF9">
        <w:rPr>
          <w:rFonts w:ascii="Tinos" w:eastAsia="Tinos" w:hAnsi="Tinos" w:cs="Tinos"/>
          <w:bCs/>
          <w:sz w:val="28"/>
        </w:rPr>
        <w:t>Контрольно-счетной палаты Республики Ингушетия</w:t>
      </w:r>
      <w:r w:rsidRPr="00C2597F">
        <w:rPr>
          <w:rFonts w:ascii="Tinos" w:eastAsia="Tinos" w:hAnsi="Tinos" w:cs="Tinos"/>
          <w:bCs/>
          <w:sz w:val="28"/>
        </w:rPr>
        <w:t xml:space="preserve"> в целях </w:t>
      </w:r>
      <w:proofErr w:type="spellStart"/>
      <w:r w:rsidRPr="00C2597F">
        <w:rPr>
          <w:rFonts w:ascii="Tinos" w:eastAsia="Tinos" w:hAnsi="Tinos" w:cs="Tinos"/>
          <w:bCs/>
          <w:sz w:val="28"/>
        </w:rPr>
        <w:t>приоритизации</w:t>
      </w:r>
      <w:proofErr w:type="spellEnd"/>
      <w:r w:rsidRPr="00C2597F">
        <w:rPr>
          <w:rFonts w:ascii="Tinos" w:eastAsia="Tinos" w:hAnsi="Tinos" w:cs="Tinos"/>
          <w:bCs/>
          <w:sz w:val="28"/>
        </w:rPr>
        <w:t xml:space="preserve"> контрольных</w:t>
      </w:r>
      <w:r w:rsidR="0011606C">
        <w:rPr>
          <w:rFonts w:ascii="Tinos" w:eastAsia="Tinos" w:hAnsi="Tinos" w:cs="Tinos"/>
          <w:bCs/>
          <w:sz w:val="28"/>
        </w:rPr>
        <w:t xml:space="preserve"> (</w:t>
      </w:r>
      <w:r w:rsidRPr="00C2597F">
        <w:rPr>
          <w:rFonts w:ascii="Tinos" w:eastAsia="Tinos" w:hAnsi="Tinos" w:cs="Tinos"/>
          <w:bCs/>
          <w:sz w:val="28"/>
        </w:rPr>
        <w:t>экспертно-аналитических) мероприятий</w:t>
      </w:r>
      <w:r w:rsidRPr="00C2597F">
        <w:rPr>
          <w:rFonts w:ascii="Tinos" w:eastAsia="Tinos" w:hAnsi="Tinos" w:cs="Tinos"/>
          <w:sz w:val="28"/>
        </w:rPr>
        <w:t xml:space="preserve">      </w:t>
      </w:r>
      <w:r w:rsidR="00010AF9">
        <w:rPr>
          <w:rFonts w:ascii="Tinos" w:eastAsia="Tinos" w:hAnsi="Tinos" w:cs="Tinos"/>
          <w:sz w:val="28"/>
        </w:rPr>
        <w:t xml:space="preserve">      </w:t>
      </w:r>
      <w:r w:rsidRPr="00C2597F">
        <w:rPr>
          <w:rFonts w:ascii="Tinos" w:eastAsia="Tinos" w:hAnsi="Tinos" w:cs="Tinos"/>
          <w:sz w:val="28"/>
        </w:rPr>
        <w:t>9</w:t>
      </w:r>
    </w:p>
    <w:p w14:paraId="3D3D9E89" w14:textId="77777777" w:rsidR="0011606C" w:rsidRDefault="0011606C" w:rsidP="0011606C">
      <w:pPr>
        <w:widowControl w:val="0"/>
        <w:spacing w:after="0" w:line="242" w:lineRule="auto"/>
        <w:jc w:val="both"/>
        <w:rPr>
          <w:rFonts w:ascii="Tinos" w:eastAsia="Tinos" w:hAnsi="Tinos" w:cs="Tinos"/>
          <w:sz w:val="28"/>
        </w:rPr>
      </w:pPr>
    </w:p>
    <w:p w14:paraId="22EB8C46" w14:textId="05378032" w:rsidR="00C2597F" w:rsidRPr="00C2597F" w:rsidRDefault="00C2597F" w:rsidP="0011606C">
      <w:pPr>
        <w:widowControl w:val="0"/>
        <w:spacing w:after="0" w:line="242" w:lineRule="auto"/>
        <w:jc w:val="both"/>
        <w:rPr>
          <w:rFonts w:ascii="Tinos" w:eastAsia="Tinos" w:hAnsi="Tinos" w:cs="Tinos"/>
          <w:sz w:val="28"/>
        </w:rPr>
      </w:pPr>
      <w:r w:rsidRPr="00C2597F">
        <w:rPr>
          <w:rFonts w:ascii="Tinos" w:eastAsia="Tinos" w:hAnsi="Tinos" w:cs="Tinos"/>
          <w:sz w:val="28"/>
        </w:rPr>
        <w:t>Приложение 2. Факторы риска нарушений, недостатков (негативных последствий), подлежащие оценке в ходе подготовки к проведению контрольного (экспертно-аналитического) мероприятия, включенного в план работы Контрольно-счетной комиссии                                                               10</w:t>
      </w:r>
    </w:p>
    <w:p w14:paraId="41712F73" w14:textId="5674EE1A" w:rsidR="00C2597F" w:rsidRDefault="00C2597F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</w:p>
    <w:p w14:paraId="38FBCD6A" w14:textId="315E6FF5" w:rsidR="00B139FE" w:rsidRPr="00B139FE" w:rsidRDefault="00996336" w:rsidP="00B139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t>Приложение 3</w:t>
      </w:r>
      <w:r w:rsidR="009D7275">
        <w:rPr>
          <w:rFonts w:ascii="Tinos" w:eastAsia="Tinos" w:hAnsi="Tinos" w:cs="Tinos"/>
          <w:sz w:val="28"/>
        </w:rPr>
        <w:t>.</w:t>
      </w:r>
      <w:r>
        <w:rPr>
          <w:rFonts w:ascii="Tinos" w:eastAsia="Tinos" w:hAnsi="Tinos" w:cs="Tinos"/>
          <w:sz w:val="28"/>
        </w:rPr>
        <w:t xml:space="preserve"> </w:t>
      </w:r>
      <w:r w:rsidR="00B139FE" w:rsidRPr="00B139FE">
        <w:rPr>
          <w:rFonts w:ascii="Tinos" w:eastAsia="Tinos" w:hAnsi="Tinos" w:cs="Tinos"/>
          <w:sz w:val="28"/>
        </w:rPr>
        <w:t xml:space="preserve">Базовые риски, подлежащие оценке при планировании деятельности в целях </w:t>
      </w:r>
      <w:proofErr w:type="spellStart"/>
      <w:r w:rsidR="00B139FE" w:rsidRPr="00B139FE">
        <w:rPr>
          <w:rFonts w:ascii="Tinos" w:eastAsia="Tinos" w:hAnsi="Tinos" w:cs="Tinos"/>
          <w:sz w:val="28"/>
        </w:rPr>
        <w:t>приоритизации</w:t>
      </w:r>
      <w:proofErr w:type="spellEnd"/>
      <w:r w:rsidR="00B139FE" w:rsidRPr="00B139FE">
        <w:rPr>
          <w:rFonts w:ascii="Tinos" w:eastAsia="Tinos" w:hAnsi="Tinos" w:cs="Tinos"/>
          <w:sz w:val="28"/>
        </w:rPr>
        <w:t xml:space="preserve"> контрольных (экспертно-аналитических) мероприятий</w:t>
      </w:r>
      <w:r w:rsidR="00B139FE">
        <w:rPr>
          <w:rFonts w:ascii="Tinos" w:eastAsia="Tinos" w:hAnsi="Tinos" w:cs="Tinos"/>
          <w:sz w:val="28"/>
        </w:rPr>
        <w:t xml:space="preserve">                                                                                                            11</w:t>
      </w:r>
    </w:p>
    <w:p w14:paraId="5EDF46F7" w14:textId="2F042277" w:rsidR="00996336" w:rsidRDefault="00996336" w:rsidP="001160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both"/>
        <w:rPr>
          <w:rFonts w:ascii="Tinos" w:eastAsia="Tinos" w:hAnsi="Tinos" w:cs="Tinos"/>
          <w:sz w:val="28"/>
        </w:rPr>
      </w:pPr>
    </w:p>
    <w:p w14:paraId="59B0E81C" w14:textId="72C55B6D" w:rsidR="00996336" w:rsidRDefault="00996336">
      <w:pPr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br w:type="page"/>
      </w:r>
    </w:p>
    <w:p w14:paraId="00095058" w14:textId="33FF446D" w:rsidR="00996336" w:rsidRPr="00FD13D5" w:rsidRDefault="00FD13D5" w:rsidP="00FD13D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jc w:val="center"/>
        <w:rPr>
          <w:rFonts w:ascii="Tinos" w:eastAsia="Tinos" w:hAnsi="Tinos" w:cs="Tinos"/>
          <w:b/>
          <w:bCs/>
          <w:sz w:val="28"/>
        </w:rPr>
      </w:pPr>
      <w:r w:rsidRPr="00FD13D5">
        <w:rPr>
          <w:rFonts w:ascii="Tinos" w:eastAsia="Tinos" w:hAnsi="Tinos" w:cs="Tinos"/>
          <w:b/>
          <w:bCs/>
          <w:sz w:val="28"/>
        </w:rPr>
        <w:lastRenderedPageBreak/>
        <w:t>1.Общие положения</w:t>
      </w:r>
    </w:p>
    <w:p w14:paraId="4E81BBC3" w14:textId="4BFDCB17" w:rsidR="005E5568" w:rsidRDefault="00FD13D5" w:rsidP="005E55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t>1.1.</w:t>
      </w:r>
      <w:r w:rsidR="00996336" w:rsidRPr="00996336">
        <w:rPr>
          <w:rFonts w:ascii="Tinos" w:eastAsia="Tinos" w:hAnsi="Tinos" w:cs="Tinos"/>
          <w:sz w:val="28"/>
        </w:rPr>
        <w:t>Стандарт внешнего государственного финансового контроля «</w:t>
      </w:r>
      <w:r w:rsidRPr="00FD13D5">
        <w:rPr>
          <w:rFonts w:ascii="Tinos" w:eastAsia="Tinos" w:hAnsi="Tinos" w:cs="Tinos"/>
          <w:sz w:val="28"/>
        </w:rPr>
        <w:t xml:space="preserve">«Риск-ориентированный подход в контрольной и экспертно- аналитической деятельности» </w:t>
      </w:r>
      <w:r w:rsidR="00996336" w:rsidRPr="00996336">
        <w:rPr>
          <w:rFonts w:ascii="Tinos" w:eastAsia="Tinos" w:hAnsi="Tinos" w:cs="Tinos"/>
          <w:sz w:val="28"/>
        </w:rPr>
        <w:t>(далее – Стандарт) разработан на основании статьи 11 Федерального закона от 07.02.2011 №</w:t>
      </w:r>
      <w:r>
        <w:rPr>
          <w:rFonts w:ascii="Tinos" w:eastAsia="Tinos" w:hAnsi="Tinos" w:cs="Tinos"/>
          <w:sz w:val="28"/>
        </w:rPr>
        <w:t> </w:t>
      </w:r>
      <w:r w:rsidR="00996336" w:rsidRPr="00996336">
        <w:rPr>
          <w:rFonts w:ascii="Tinos" w:eastAsia="Tinos" w:hAnsi="Tinos" w:cs="Tinos"/>
          <w:sz w:val="28"/>
        </w:rPr>
        <w:t>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Законом Республики Ингушетия от 28.09.2011 №</w:t>
      </w:r>
      <w:r>
        <w:rPr>
          <w:rFonts w:ascii="Tinos" w:eastAsia="Tinos" w:hAnsi="Tinos" w:cs="Tinos"/>
          <w:sz w:val="28"/>
        </w:rPr>
        <w:t> </w:t>
      </w:r>
      <w:r w:rsidR="00996336" w:rsidRPr="00996336">
        <w:rPr>
          <w:rFonts w:ascii="Tinos" w:eastAsia="Tinos" w:hAnsi="Tinos" w:cs="Tinos"/>
          <w:sz w:val="28"/>
        </w:rPr>
        <w:t>27-РЗ «О Контрольно-счетной палате Республики Ингушетия» (с изменениями и дополнениями)</w:t>
      </w:r>
      <w:r w:rsidR="00292B08">
        <w:rPr>
          <w:rFonts w:ascii="Tinos" w:eastAsia="Tinos" w:hAnsi="Tinos" w:cs="Tinos"/>
          <w:sz w:val="28"/>
        </w:rPr>
        <w:t>,</w:t>
      </w:r>
      <w:r w:rsidR="00292B08" w:rsidRPr="00292B08">
        <w:t xml:space="preserve"> </w:t>
      </w:r>
      <w:r w:rsidR="00292B08" w:rsidRPr="00292B08">
        <w:rPr>
          <w:rFonts w:ascii="Tinos" w:eastAsia="Tinos" w:hAnsi="Tinos" w:cs="Tinos"/>
          <w:sz w:val="28"/>
        </w:rPr>
        <w:t>Регламента Контрольно</w:t>
      </w:r>
      <w:r w:rsidR="00292B08">
        <w:rPr>
          <w:rFonts w:ascii="Tinos" w:eastAsia="Tinos" w:hAnsi="Tinos" w:cs="Tinos"/>
          <w:sz w:val="28"/>
        </w:rPr>
        <w:t>-</w:t>
      </w:r>
      <w:r w:rsidR="00292B08" w:rsidRPr="00292B08">
        <w:rPr>
          <w:rFonts w:ascii="Tinos" w:eastAsia="Tinos" w:hAnsi="Tinos" w:cs="Tinos"/>
          <w:sz w:val="28"/>
        </w:rPr>
        <w:t>счетной палаты Республики Ингушетия</w:t>
      </w:r>
      <w:r w:rsidR="00996336" w:rsidRPr="00996336">
        <w:rPr>
          <w:rFonts w:ascii="Tinos" w:eastAsia="Tinos" w:hAnsi="Tinos" w:cs="Tinos"/>
          <w:sz w:val="28"/>
        </w:rPr>
        <w:t>, Общих требований к стандартам внешнего государственного и муниципального аудита (контроля) для проведения контрольных и экспертно</w:t>
      </w:r>
      <w:r>
        <w:rPr>
          <w:rFonts w:ascii="Tinos" w:eastAsia="Tinos" w:hAnsi="Tinos" w:cs="Tinos"/>
          <w:sz w:val="28"/>
        </w:rPr>
        <w:t>-</w:t>
      </w:r>
      <w:r w:rsidR="00996336" w:rsidRPr="00996336">
        <w:rPr>
          <w:rFonts w:ascii="Tinos" w:eastAsia="Tinos" w:hAnsi="Tinos" w:cs="Tinos"/>
          <w:sz w:val="28"/>
        </w:rPr>
        <w:t>аналитических мероприятий контрольно-счетными органами субъектов Российской Федерации и муниципальных образований, утвержденных постановлением Коллегии Счетной палаты Российской Федерации от 29.03.2022 №</w:t>
      </w:r>
      <w:r>
        <w:rPr>
          <w:rFonts w:ascii="Tinos" w:eastAsia="Tinos" w:hAnsi="Tinos" w:cs="Tinos"/>
          <w:sz w:val="28"/>
        </w:rPr>
        <w:t> </w:t>
      </w:r>
      <w:r w:rsidR="00996336" w:rsidRPr="00996336">
        <w:rPr>
          <w:rFonts w:ascii="Tinos" w:eastAsia="Tinos" w:hAnsi="Tinos" w:cs="Tinos"/>
          <w:sz w:val="28"/>
        </w:rPr>
        <w:t>2ПК</w:t>
      </w:r>
      <w:r>
        <w:rPr>
          <w:rFonts w:ascii="Tinos" w:eastAsia="Tinos" w:hAnsi="Tinos" w:cs="Tinos"/>
          <w:sz w:val="28"/>
        </w:rPr>
        <w:t xml:space="preserve">, </w:t>
      </w:r>
      <w:r w:rsidR="00E347CF">
        <w:rPr>
          <w:rFonts w:ascii="Tinos" w:eastAsia="Tinos" w:hAnsi="Tinos" w:cs="Tinos"/>
          <w:sz w:val="28"/>
        </w:rPr>
        <w:t xml:space="preserve">с </w:t>
      </w:r>
      <w:r w:rsidR="005E5568">
        <w:rPr>
          <w:rFonts w:ascii="Tinos" w:eastAsia="Tinos" w:hAnsi="Tinos" w:cs="Tinos"/>
          <w:sz w:val="28"/>
        </w:rPr>
        <w:t>учетом</w:t>
      </w:r>
      <w:r w:rsidR="00E347CF">
        <w:rPr>
          <w:rFonts w:ascii="Tinos" w:eastAsia="Tinos" w:hAnsi="Tinos" w:cs="Tinos"/>
          <w:sz w:val="28"/>
        </w:rPr>
        <w:t xml:space="preserve"> положений </w:t>
      </w:r>
      <w:r>
        <w:rPr>
          <w:rFonts w:ascii="Tinos" w:eastAsia="Tinos" w:hAnsi="Tinos" w:cs="Tinos"/>
          <w:sz w:val="28"/>
        </w:rPr>
        <w:t xml:space="preserve">Концепции риск ориентированного подхода, утвержденной протоколом Коллегии </w:t>
      </w:r>
      <w:r w:rsidR="00E347CF">
        <w:rPr>
          <w:rFonts w:ascii="Tinos" w:eastAsia="Tinos" w:hAnsi="Tinos" w:cs="Tinos"/>
          <w:sz w:val="28"/>
        </w:rPr>
        <w:t>Счётной</w:t>
      </w:r>
      <w:r>
        <w:rPr>
          <w:rFonts w:ascii="Tinos" w:eastAsia="Tinos" w:hAnsi="Tinos" w:cs="Tinos"/>
          <w:sz w:val="28"/>
        </w:rPr>
        <w:t xml:space="preserve"> палаты Российской Федерации от 22.06.2021 № 44</w:t>
      </w:r>
      <w:r w:rsidR="00E347CF">
        <w:rPr>
          <w:rFonts w:ascii="Tinos" w:eastAsia="Tinos" w:hAnsi="Tinos" w:cs="Tinos"/>
          <w:sz w:val="28"/>
        </w:rPr>
        <w:t>кК (1487).</w:t>
      </w:r>
      <w:r w:rsidR="00996336" w:rsidRPr="00996336">
        <w:rPr>
          <w:rFonts w:ascii="Tinos" w:eastAsia="Tinos" w:hAnsi="Tinos" w:cs="Tinos"/>
          <w:sz w:val="28"/>
        </w:rPr>
        <w:t xml:space="preserve"> </w:t>
      </w:r>
    </w:p>
    <w:p w14:paraId="0FCF34F2" w14:textId="7EEC68E9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1.2. Цель Стандарта – установление общих правил и процедур реализации риск-ориентированного подхода при планировании контрольной и экспертно-аналитической деятельности </w:t>
      </w:r>
      <w:r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Pr="00FD13D5">
        <w:rPr>
          <w:rFonts w:ascii="Tinos" w:eastAsia="Tinos" w:hAnsi="Tinos" w:cs="Tinos"/>
          <w:sz w:val="28"/>
        </w:rPr>
        <w:t>.</w:t>
      </w:r>
    </w:p>
    <w:p w14:paraId="1B2ECE6E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1.3. Задачами Стандарта являются:</w:t>
      </w:r>
    </w:p>
    <w:p w14:paraId="6DB2135F" w14:textId="06017846" w:rsidR="00FD13D5" w:rsidRPr="00E347CF" w:rsidRDefault="00FD13D5" w:rsidP="00E347CF">
      <w:pPr>
        <w:pStyle w:val="a3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14" w:firstLine="695"/>
        <w:jc w:val="both"/>
        <w:rPr>
          <w:rFonts w:ascii="Tinos" w:eastAsia="Tinos" w:hAnsi="Tinos" w:cs="Tinos"/>
          <w:sz w:val="28"/>
        </w:rPr>
      </w:pPr>
      <w:r w:rsidRPr="00E347CF">
        <w:rPr>
          <w:rFonts w:ascii="Tinos" w:eastAsia="Tinos" w:hAnsi="Tinos" w:cs="Tinos"/>
          <w:sz w:val="28"/>
        </w:rPr>
        <w:t xml:space="preserve">повышение качества планирования работы с учетом оптимизации выбора приоритетов контрольной (экспертно-аналитической) деятельности, в целях обеспечения эффективности </w:t>
      </w:r>
      <w:r w:rsidR="00E347CF">
        <w:rPr>
          <w:rFonts w:ascii="Tinos" w:eastAsia="Tinos" w:hAnsi="Tinos" w:cs="Tinos"/>
          <w:sz w:val="28"/>
        </w:rPr>
        <w:t xml:space="preserve">и результативности </w:t>
      </w:r>
      <w:r w:rsidRPr="00E347CF">
        <w:rPr>
          <w:rFonts w:ascii="Tinos" w:eastAsia="Tinos" w:hAnsi="Tinos" w:cs="Tinos"/>
          <w:sz w:val="28"/>
        </w:rPr>
        <w:t>деятельности;</w:t>
      </w:r>
    </w:p>
    <w:p w14:paraId="639E134E" w14:textId="50A21E39" w:rsidR="00FD13D5" w:rsidRPr="00E347CF" w:rsidRDefault="00FD13D5" w:rsidP="00E347CF">
      <w:pPr>
        <w:pStyle w:val="a3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14" w:firstLine="695"/>
        <w:jc w:val="both"/>
        <w:rPr>
          <w:rFonts w:ascii="Tinos" w:eastAsia="Tinos" w:hAnsi="Tinos" w:cs="Tinos"/>
          <w:sz w:val="28"/>
        </w:rPr>
      </w:pPr>
      <w:r w:rsidRPr="00E347CF">
        <w:rPr>
          <w:rFonts w:ascii="Tinos" w:eastAsia="Tinos" w:hAnsi="Tinos" w:cs="Tinos"/>
          <w:sz w:val="28"/>
        </w:rPr>
        <w:t>оптимизация использования ресурсов посредством их распределения на проведение контрольных (экспертно-аналитических) мероприятий, охватывающих деятельность объектов контроля, характеризующуюся высоким уровнем рисков нарушений, недостатков (негативных последствий).</w:t>
      </w:r>
    </w:p>
    <w:p w14:paraId="4257717A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1.4. Сфера применения Стандарта – планирование контрольной и экспертно-аналитической деятельности, подготовка и проведение контрольных (экспертно-аналитических) мероприятий в рамках установленных полномочий.</w:t>
      </w:r>
    </w:p>
    <w:p w14:paraId="2FA91C81" w14:textId="77777777" w:rsidR="00FD13D5" w:rsidRPr="009D727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1.5. Способы, приемы реализации положений настоящего Стандарта при планировании контрольной и экспертно-аналитической деятельности </w:t>
      </w:r>
      <w:r w:rsidRPr="009D7275">
        <w:rPr>
          <w:rFonts w:ascii="Tinos" w:eastAsia="Tinos" w:hAnsi="Tinos" w:cs="Tinos"/>
          <w:sz w:val="28"/>
        </w:rPr>
        <w:t>могут отражаться в методических рекомендациях.</w:t>
      </w:r>
    </w:p>
    <w:p w14:paraId="05B749C6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9D7275">
        <w:rPr>
          <w:rFonts w:ascii="Tinos" w:eastAsia="Tinos" w:hAnsi="Tinos" w:cs="Tinos"/>
          <w:sz w:val="28"/>
        </w:rPr>
        <w:t>1.6. Для целей настоящего Стандарта используются следующие поня</w:t>
      </w:r>
      <w:r w:rsidRPr="00FD13D5">
        <w:rPr>
          <w:rFonts w:ascii="Tinos" w:eastAsia="Tinos" w:hAnsi="Tinos" w:cs="Tinos"/>
          <w:sz w:val="28"/>
        </w:rPr>
        <w:t>тия:</w:t>
      </w:r>
    </w:p>
    <w:p w14:paraId="6395DA4A" w14:textId="31557FB0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публичные ресурсы</w:t>
      </w:r>
      <w:r w:rsidRPr="00E347CF">
        <w:rPr>
          <w:rFonts w:ascii="Tinos" w:eastAsia="Tinos" w:hAnsi="Tinos" w:cs="Tinos"/>
          <w:sz w:val="28"/>
        </w:rPr>
        <w:t xml:space="preserve"> – средства бюджетов бюджетной системы субъекта Российской Федерации, иные объекты государственной собственности.</w:t>
      </w:r>
    </w:p>
    <w:p w14:paraId="06E42CEA" w14:textId="622F44BA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риск</w:t>
      </w:r>
      <w:r w:rsidRPr="00E347CF">
        <w:rPr>
          <w:rFonts w:ascii="Tinos" w:eastAsia="Tinos" w:hAnsi="Tinos" w:cs="Tinos"/>
          <w:sz w:val="28"/>
        </w:rPr>
        <w:t xml:space="preserve"> – вероятность отклонения от ожидаемого результата вследствие воздействия неопределенности.</w:t>
      </w:r>
    </w:p>
    <w:p w14:paraId="7A9BD34A" w14:textId="415FB0C2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неопределенность</w:t>
      </w:r>
      <w:r w:rsidRPr="00E347CF">
        <w:rPr>
          <w:rFonts w:ascii="Tinos" w:eastAsia="Tinos" w:hAnsi="Tinos" w:cs="Tinos"/>
          <w:sz w:val="28"/>
        </w:rPr>
        <w:t xml:space="preserve"> – состояние недостатка (даже частичного) информации, связанное с пониманием или знанием о событии, его последствиях или вероятности.</w:t>
      </w:r>
    </w:p>
    <w:p w14:paraId="4705A642" w14:textId="7BEB5B67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область риска</w:t>
      </w:r>
      <w:r w:rsidRPr="00E347CF">
        <w:rPr>
          <w:rFonts w:ascii="Tinos" w:eastAsia="Tinos" w:hAnsi="Tinos" w:cs="Tinos"/>
          <w:sz w:val="28"/>
        </w:rPr>
        <w:t xml:space="preserve"> – часть социально-экономической сферы субъекта Российской Федерации и (или) сферы деятельности объекта контроля, в границах которой события и их последствия характеризуются наличием неопределенности.</w:t>
      </w:r>
    </w:p>
    <w:p w14:paraId="3EC80CDD" w14:textId="216D9A2E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аудиторский риск</w:t>
      </w:r>
      <w:r w:rsidRPr="00E347CF">
        <w:rPr>
          <w:rFonts w:ascii="Tinos" w:eastAsia="Tinos" w:hAnsi="Tinos" w:cs="Tinos"/>
          <w:sz w:val="28"/>
        </w:rPr>
        <w:t xml:space="preserve"> – вероятность ненадлежащего выбора предмета контрольного (экспертно-аналитического) мероприятия в ходе планирования контрольной и экспертно-аналитической деятельности вследствие влияния неопределенности и (или) вероятность формулирования ненадлежащего вывода о наличии (отсутствии) нарушения и (или) недостатка в деятельности объекта контроля, производная от рисков существенного искажения и риска </w:t>
      </w:r>
      <w:proofErr w:type="spellStart"/>
      <w:r w:rsidRPr="00E347CF">
        <w:rPr>
          <w:rFonts w:ascii="Tinos" w:eastAsia="Tinos" w:hAnsi="Tinos" w:cs="Tinos"/>
          <w:sz w:val="28"/>
        </w:rPr>
        <w:t>необнаружения</w:t>
      </w:r>
      <w:proofErr w:type="spellEnd"/>
      <w:r w:rsidRPr="00E347CF">
        <w:rPr>
          <w:rFonts w:ascii="Tinos" w:eastAsia="Tinos" w:hAnsi="Tinos" w:cs="Tinos"/>
          <w:sz w:val="28"/>
        </w:rPr>
        <w:t>.</w:t>
      </w:r>
    </w:p>
    <w:p w14:paraId="1BA260CA" w14:textId="6DF751C4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уровень существенности</w:t>
      </w:r>
      <w:r w:rsidRPr="00E347CF">
        <w:rPr>
          <w:rFonts w:ascii="Tinos" w:eastAsia="Tinos" w:hAnsi="Tinos" w:cs="Tinos"/>
          <w:sz w:val="28"/>
        </w:rPr>
        <w:t xml:space="preserve"> – оценочная категория, означающая выполнение контрольных (экспертно-аналитических) процедур на уровне (в объеме), необходимом и достаточном для снижения до приемлемо низкого уровня вероятности того, что совокупная величина искажений, не обнаруженных в ходе контрольного (экспертно-аналитического) мероприятия, превысит существенность для финансовой и иной отчетности в целом.</w:t>
      </w:r>
    </w:p>
    <w:p w14:paraId="3F67EB71" w14:textId="1CCDCF30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выборка</w:t>
      </w:r>
      <w:r w:rsidRPr="00E347CF">
        <w:rPr>
          <w:rFonts w:ascii="Tinos" w:eastAsia="Tinos" w:hAnsi="Tinos" w:cs="Tinos"/>
          <w:sz w:val="28"/>
        </w:rPr>
        <w:t xml:space="preserve"> – применение контрольных процедур к менее чем 100 процентам общей совокупности данных о деятельности проверяемых органов (организаций), подлежащих рассмотрению во всех значимых аспектах, раскрывающих предмет контрольного (экспертно-аналитического) мероприятия.</w:t>
      </w:r>
    </w:p>
    <w:p w14:paraId="10C02186" w14:textId="68D9B914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риск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вероятность наступления обстоятельств (событий), отрицательно влияющих на законность и эффективность использования публичных ресурсов, достижение целей социально-экономического развития публично-правового образования, которые могут повлечь причинение вреда (ущерба) субъекту Российской Федерации.</w:t>
      </w:r>
    </w:p>
    <w:p w14:paraId="35D2D27E" w14:textId="64F12C8D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агрегированный риск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множество рисков нарушений, недостатков (негативных последствий) (системный риск в сфере государственного управления) с учетом взаимодействия и взаимовлияния разных проверяемых органов (организаций). Множество рисков нарушений, недостатков (негативных последствий), свойственных только отдельному проверяемому органу (организации), не может быть рассмотрено в качестве агрегированного риска нарушений, недостатков (негативных последствий).</w:t>
      </w:r>
    </w:p>
    <w:p w14:paraId="73E20A2E" w14:textId="2843E729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фактор риска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признак, состояние, свойство, которое увеличивает вероятность нарушения, недостатка (негативных последствий) в области риска.</w:t>
      </w:r>
    </w:p>
    <w:p w14:paraId="41AD81D1" w14:textId="5AA182D7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ранжирование риска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группировка рисков в зависимости от вероятности их наступления и значимости негативных последствий с учетом результатов оценки факторов риска (агрегированного риска) нарушений, недостатков (негативных последствий).</w:t>
      </w:r>
    </w:p>
    <w:p w14:paraId="385A198D" w14:textId="0E2FFC7A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уровень риска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количественная или качественная оценка риска нарушений, недостатков (негативных последствий), применяемая при проведении контрольного (экспертно-аналитического) мероприятия.</w:t>
      </w:r>
    </w:p>
    <w:p w14:paraId="7392FBE7" w14:textId="2683B676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идентификация риска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процедура анализа и определения риска нарушений, недостатков (негативных последствий), осуществляемая в ходе проведения контрольного (экспертно-аналитического) мероприятия.</w:t>
      </w:r>
    </w:p>
    <w:p w14:paraId="68D6CA45" w14:textId="4000F8E7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предотвращение нарушений, недостатков (негативных последствий)</w:t>
      </w:r>
      <w:r w:rsidRPr="00E347CF">
        <w:rPr>
          <w:rFonts w:ascii="Tinos" w:eastAsia="Tinos" w:hAnsi="Tinos" w:cs="Tinos"/>
          <w:sz w:val="28"/>
        </w:rPr>
        <w:t xml:space="preserve"> – принятие Счетной палатой в пределах установленных полномочий мер по предупреждению нарушений, недостатков, а также по недопущению реализации рисков негативных последствий.</w:t>
      </w:r>
    </w:p>
    <w:p w14:paraId="131AB4ED" w14:textId="07CA2D32" w:rsidR="00FD13D5" w:rsidRPr="00E347CF" w:rsidRDefault="00FD13D5" w:rsidP="00E347CF">
      <w:pPr>
        <w:pStyle w:val="a3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292B08">
        <w:rPr>
          <w:rFonts w:ascii="Tinos" w:eastAsia="Tinos" w:hAnsi="Tinos" w:cs="Tinos"/>
          <w:i/>
          <w:iCs/>
          <w:sz w:val="28"/>
        </w:rPr>
        <w:t>риск-ориентированный подход</w:t>
      </w:r>
      <w:r w:rsidRPr="00E347CF">
        <w:rPr>
          <w:rFonts w:ascii="Tinos" w:eastAsia="Tinos" w:hAnsi="Tinos" w:cs="Tinos"/>
          <w:sz w:val="28"/>
        </w:rPr>
        <w:t xml:space="preserve"> – способ организации и осуществления внешнего государственного финансового контроля, при котором планирование и осуществление контрольной (экспертно-аналитической) деятельности, включая выбор форм и методов осуществления внешнего государственного финансового контроля, определяется результатами оценки (ранжирования) рисков (рисков нарушений, недостатков (негативных последствий).</w:t>
      </w:r>
    </w:p>
    <w:p w14:paraId="281EF765" w14:textId="415C9A6C" w:rsidR="00FD13D5" w:rsidRPr="00FD13D5" w:rsidRDefault="005E5568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5E5568">
        <w:rPr>
          <w:rFonts w:ascii="Tinos" w:eastAsia="Tinos" w:hAnsi="Tinos" w:cs="Tinos"/>
          <w:sz w:val="28"/>
        </w:rPr>
        <w:t xml:space="preserve">Иные термины используются в настоящем Стандарте в значениях, определенных законодательными и иными нормативными правовыми актами Российской Федерации и субъекта Российской Федерации, Регламентом и стандартами </w:t>
      </w:r>
      <w:r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Pr="005E5568">
        <w:rPr>
          <w:rFonts w:ascii="Tinos" w:eastAsia="Tinos" w:hAnsi="Tinos" w:cs="Tinos"/>
          <w:sz w:val="28"/>
        </w:rPr>
        <w:t>.</w:t>
      </w:r>
    </w:p>
    <w:p w14:paraId="578584B1" w14:textId="77777777" w:rsidR="005E5568" w:rsidRDefault="005E5568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3C5F9EA2" w14:textId="5CF567D2" w:rsidR="00FD13D5" w:rsidRPr="008A3B1C" w:rsidRDefault="00FD13D5" w:rsidP="008A3B1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center"/>
        <w:rPr>
          <w:rFonts w:ascii="Tinos" w:eastAsia="Tinos" w:hAnsi="Tinos" w:cs="Tinos"/>
          <w:b/>
          <w:bCs/>
          <w:sz w:val="28"/>
        </w:rPr>
      </w:pPr>
      <w:r w:rsidRPr="005E5568">
        <w:rPr>
          <w:rFonts w:ascii="Tinos" w:eastAsia="Tinos" w:hAnsi="Tinos" w:cs="Tinos"/>
          <w:b/>
          <w:bCs/>
          <w:sz w:val="28"/>
        </w:rPr>
        <w:t>2. Основы применения риск-ориентированного подхода</w:t>
      </w:r>
    </w:p>
    <w:p w14:paraId="3B55759C" w14:textId="5D822890" w:rsidR="00FD13D5" w:rsidRPr="005E5568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i/>
          <w:iCs/>
          <w:sz w:val="28"/>
        </w:rPr>
      </w:pPr>
      <w:r w:rsidRPr="00FD13D5">
        <w:rPr>
          <w:rFonts w:ascii="Tinos" w:eastAsia="Tinos" w:hAnsi="Tinos" w:cs="Tinos"/>
          <w:sz w:val="28"/>
        </w:rPr>
        <w:t xml:space="preserve">2.1. </w:t>
      </w:r>
      <w:r w:rsidRPr="005E5568">
        <w:rPr>
          <w:rFonts w:ascii="Tinos" w:eastAsia="Tinos" w:hAnsi="Tinos" w:cs="Tinos"/>
          <w:i/>
          <w:iCs/>
          <w:sz w:val="28"/>
        </w:rPr>
        <w:t>Применение риск-ориентированного подхода при планировании контрольной (экспертно-аналитической) деятельности</w:t>
      </w:r>
    </w:p>
    <w:p w14:paraId="278ACD35" w14:textId="130319FD" w:rsidR="00507BAF" w:rsidRPr="00507BAF" w:rsidRDefault="00FD13D5" w:rsidP="00507B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2.1.1. </w:t>
      </w:r>
      <w:r w:rsidR="00507BAF">
        <w:rPr>
          <w:rFonts w:ascii="Tinos" w:eastAsia="Tinos" w:hAnsi="Tinos" w:cs="Tinos"/>
          <w:sz w:val="28"/>
        </w:rPr>
        <w:t>Р</w:t>
      </w:r>
      <w:r w:rsidR="00507BAF" w:rsidRPr="00FD13D5">
        <w:rPr>
          <w:rFonts w:ascii="Tinos" w:eastAsia="Tinos" w:hAnsi="Tinos" w:cs="Tinos"/>
          <w:sz w:val="28"/>
        </w:rPr>
        <w:t xml:space="preserve">иск-ориентированный подход </w:t>
      </w:r>
      <w:r w:rsidR="00507BAF">
        <w:rPr>
          <w:rFonts w:ascii="Tinos" w:eastAsia="Tinos" w:hAnsi="Tinos" w:cs="Tinos"/>
          <w:sz w:val="28"/>
        </w:rPr>
        <w:t>при</w:t>
      </w:r>
      <w:r w:rsidRPr="00FD13D5">
        <w:rPr>
          <w:rFonts w:ascii="Tinos" w:eastAsia="Tinos" w:hAnsi="Tinos" w:cs="Tinos"/>
          <w:sz w:val="28"/>
        </w:rPr>
        <w:t xml:space="preserve"> планировании контрольных (экспертно-аналитических) мероприятий</w:t>
      </w:r>
      <w:r w:rsidR="00507BAF">
        <w:rPr>
          <w:rFonts w:ascii="Tinos" w:eastAsia="Tinos" w:hAnsi="Tinos" w:cs="Tinos"/>
          <w:sz w:val="28"/>
        </w:rPr>
        <w:t xml:space="preserve"> применяется</w:t>
      </w:r>
      <w:r w:rsidR="00507BAF" w:rsidRPr="00507BAF">
        <w:rPr>
          <w:rFonts w:ascii="Tinos" w:eastAsia="Tinos" w:hAnsi="Tinos" w:cs="Tinos"/>
          <w:sz w:val="28"/>
        </w:rPr>
        <w:t xml:space="preserve"> в ходе подготовки и рассмотрения проекта плана работы</w:t>
      </w:r>
      <w:r w:rsidR="00507BAF">
        <w:rPr>
          <w:rFonts w:ascii="Tinos" w:eastAsia="Tinos" w:hAnsi="Tinos" w:cs="Tinos"/>
          <w:sz w:val="28"/>
        </w:rPr>
        <w:t xml:space="preserve"> </w:t>
      </w:r>
      <w:r w:rsidR="00507BAF" w:rsidRPr="00010AF9">
        <w:rPr>
          <w:rFonts w:ascii="Tinos" w:eastAsia="Tinos" w:hAnsi="Tinos" w:cs="Tinos"/>
          <w:sz w:val="28"/>
        </w:rPr>
        <w:t>и при внесении изменений в план работы</w:t>
      </w:r>
      <w:r w:rsidR="00CF4BB0" w:rsidRPr="00CF4BB0">
        <w:t xml:space="preserve"> </w:t>
      </w:r>
      <w:r w:rsidR="00CF4BB0" w:rsidRPr="00CF4BB0"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="00507BAF">
        <w:rPr>
          <w:rFonts w:ascii="Tinos" w:eastAsia="Tinos" w:hAnsi="Tinos" w:cs="Tinos"/>
          <w:sz w:val="28"/>
        </w:rPr>
        <w:t xml:space="preserve">. </w:t>
      </w:r>
    </w:p>
    <w:p w14:paraId="4CC4ABC6" w14:textId="58D94716" w:rsidR="00FD13D5" w:rsidRPr="00FD13D5" w:rsidRDefault="00FD13D5" w:rsidP="00507B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2.1.2. В целях обеспечения всестороннего и систематического внешнего государственного (муниципального) финансового контроля при планировании контрольной (экспертно-аналитической) деятельности осуществляется </w:t>
      </w:r>
      <w:proofErr w:type="spellStart"/>
      <w:r w:rsidRPr="00FD13D5">
        <w:rPr>
          <w:rFonts w:ascii="Tinos" w:eastAsia="Tinos" w:hAnsi="Tinos" w:cs="Tinos"/>
          <w:sz w:val="28"/>
        </w:rPr>
        <w:t>приоритизация</w:t>
      </w:r>
      <w:proofErr w:type="spellEnd"/>
      <w:r w:rsidRPr="00FD13D5">
        <w:rPr>
          <w:rFonts w:ascii="Tinos" w:eastAsia="Tinos" w:hAnsi="Tinos" w:cs="Tinos"/>
          <w:sz w:val="28"/>
        </w:rPr>
        <w:t xml:space="preserve"> и выбор предмета (тематики) контрольного (экспертно-аналитического) мероприятия по результатам оценки базовых рисков.</w:t>
      </w:r>
    </w:p>
    <w:p w14:paraId="2FFEB6D4" w14:textId="31AC6001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Базовые риски, подлежащие </w:t>
      </w:r>
      <w:r w:rsidR="00CF4BB0">
        <w:rPr>
          <w:rFonts w:ascii="Tinos" w:eastAsia="Tinos" w:hAnsi="Tinos" w:cs="Tinos"/>
          <w:sz w:val="28"/>
        </w:rPr>
        <w:t>идентификации</w:t>
      </w:r>
      <w:r w:rsidRPr="00FD13D5">
        <w:rPr>
          <w:rFonts w:ascii="Tinos" w:eastAsia="Tinos" w:hAnsi="Tinos" w:cs="Tinos"/>
          <w:sz w:val="28"/>
        </w:rPr>
        <w:t xml:space="preserve"> при планировании деятельности </w:t>
      </w:r>
      <w:bookmarkStart w:id="2" w:name="_Hlk241232819"/>
      <w:r w:rsidR="00507BAF">
        <w:rPr>
          <w:rFonts w:ascii="Tinos" w:eastAsia="Tinos" w:hAnsi="Tinos" w:cs="Tinos"/>
          <w:sz w:val="28"/>
        </w:rPr>
        <w:t xml:space="preserve">Контрольно-счетной палаты Республики Ингушетия </w:t>
      </w:r>
      <w:bookmarkEnd w:id="2"/>
      <w:r w:rsidRPr="00FD13D5">
        <w:rPr>
          <w:rFonts w:ascii="Tinos" w:eastAsia="Tinos" w:hAnsi="Tinos" w:cs="Tinos"/>
          <w:sz w:val="28"/>
        </w:rPr>
        <w:t xml:space="preserve">в целях </w:t>
      </w:r>
      <w:proofErr w:type="spellStart"/>
      <w:r w:rsidRPr="00FD13D5">
        <w:rPr>
          <w:rFonts w:ascii="Tinos" w:eastAsia="Tinos" w:hAnsi="Tinos" w:cs="Tinos"/>
          <w:sz w:val="28"/>
        </w:rPr>
        <w:t>приоритизации</w:t>
      </w:r>
      <w:proofErr w:type="spellEnd"/>
      <w:r w:rsidRPr="00FD13D5">
        <w:rPr>
          <w:rFonts w:ascii="Tinos" w:eastAsia="Tinos" w:hAnsi="Tinos" w:cs="Tinos"/>
          <w:sz w:val="28"/>
        </w:rPr>
        <w:t xml:space="preserve"> контрольных (экспертно-аналитических) мероприятий, </w:t>
      </w:r>
      <w:r w:rsidR="00507BAF">
        <w:rPr>
          <w:rFonts w:ascii="Tinos" w:eastAsia="Tinos" w:hAnsi="Tinos" w:cs="Tinos"/>
          <w:sz w:val="28"/>
        </w:rPr>
        <w:t>приведены</w:t>
      </w:r>
      <w:r w:rsidRPr="00FD13D5">
        <w:rPr>
          <w:rFonts w:ascii="Tinos" w:eastAsia="Tinos" w:hAnsi="Tinos" w:cs="Tinos"/>
          <w:sz w:val="28"/>
        </w:rPr>
        <w:t xml:space="preserve"> в приложении 1 к настоящему Стандарту.</w:t>
      </w:r>
    </w:p>
    <w:p w14:paraId="59B8AC12" w14:textId="3F7822E6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2.1.3. Определение возможных форм и методов осуществления внешнего государственного финансового контроля по соответствующему предмету (тематик</w:t>
      </w:r>
      <w:r w:rsidR="00CF4BB0">
        <w:rPr>
          <w:rFonts w:ascii="Tinos" w:eastAsia="Tinos" w:hAnsi="Tinos" w:cs="Tinos"/>
          <w:sz w:val="28"/>
        </w:rPr>
        <w:t>е</w:t>
      </w:r>
      <w:r w:rsidRPr="00FD13D5">
        <w:rPr>
          <w:rFonts w:ascii="Tinos" w:eastAsia="Tinos" w:hAnsi="Tinos" w:cs="Tinos"/>
          <w:sz w:val="28"/>
        </w:rPr>
        <w:t xml:space="preserve">) контрольного (экспертно-аналитического) мероприятия осуществляется с учетом результатов </w:t>
      </w:r>
      <w:proofErr w:type="spellStart"/>
      <w:r w:rsidRPr="00FD13D5">
        <w:rPr>
          <w:rFonts w:ascii="Tinos" w:eastAsia="Tinos" w:hAnsi="Tinos" w:cs="Tinos"/>
          <w:sz w:val="28"/>
        </w:rPr>
        <w:t>приоритизаци</w:t>
      </w:r>
      <w:r w:rsidR="00F37925">
        <w:rPr>
          <w:rFonts w:ascii="Tinos" w:eastAsia="Tinos" w:hAnsi="Tinos" w:cs="Tinos"/>
          <w:sz w:val="28"/>
        </w:rPr>
        <w:t>и</w:t>
      </w:r>
      <w:proofErr w:type="spellEnd"/>
      <w:r w:rsidRPr="00FD13D5">
        <w:rPr>
          <w:rFonts w:ascii="Tinos" w:eastAsia="Tinos" w:hAnsi="Tinos" w:cs="Tinos"/>
          <w:sz w:val="28"/>
        </w:rPr>
        <w:t xml:space="preserve"> мероприятий при планировании контрольной (экспертно-аналитической) деятельности.</w:t>
      </w:r>
    </w:p>
    <w:p w14:paraId="1CAE0C34" w14:textId="6A50A22B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9D7275">
        <w:rPr>
          <w:rFonts w:ascii="Tinos" w:eastAsia="Tinos" w:hAnsi="Tinos" w:cs="Tinos"/>
          <w:sz w:val="28"/>
        </w:rPr>
        <w:t>2.1.4. При рассмотрении предложений Главы Республики</w:t>
      </w:r>
      <w:r w:rsidR="00F37925" w:rsidRPr="009D7275">
        <w:rPr>
          <w:rFonts w:ascii="Tinos" w:eastAsia="Tinos" w:hAnsi="Tinos" w:cs="Tinos"/>
          <w:sz w:val="28"/>
        </w:rPr>
        <w:t xml:space="preserve"> Ингушетия</w:t>
      </w:r>
      <w:r w:rsidRPr="009D7275">
        <w:rPr>
          <w:rFonts w:ascii="Tinos" w:eastAsia="Tinos" w:hAnsi="Tinos" w:cs="Tinos"/>
          <w:sz w:val="28"/>
        </w:rPr>
        <w:t xml:space="preserve"> и поручений Народного Собрания Республики </w:t>
      </w:r>
      <w:r w:rsidR="00F37925" w:rsidRPr="009D7275">
        <w:rPr>
          <w:rFonts w:ascii="Tinos" w:eastAsia="Tinos" w:hAnsi="Tinos" w:cs="Tinos"/>
          <w:sz w:val="28"/>
        </w:rPr>
        <w:t xml:space="preserve">Ингушетия </w:t>
      </w:r>
      <w:r w:rsidRPr="009D7275">
        <w:rPr>
          <w:rFonts w:ascii="Tinos" w:eastAsia="Tinos" w:hAnsi="Tinos" w:cs="Tinos"/>
          <w:sz w:val="28"/>
        </w:rPr>
        <w:t>о проведении контрольного или экспертно-аналитического мероприятия предмет контрольного (экспертно-аналитического) мероприятия может быть расширен с учетом базовых рисков.</w:t>
      </w:r>
    </w:p>
    <w:p w14:paraId="5C16DC50" w14:textId="3B138800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2.1.5. Оценка базовых рисков при разработке и утверждении годового плана работы </w:t>
      </w:r>
      <w:bookmarkStart w:id="3" w:name="_Hlk241231716"/>
      <w:r w:rsidR="00F37925"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Pr="00FD13D5">
        <w:rPr>
          <w:rFonts w:ascii="Tinos" w:eastAsia="Tinos" w:hAnsi="Tinos" w:cs="Tinos"/>
          <w:sz w:val="28"/>
        </w:rPr>
        <w:t xml:space="preserve"> </w:t>
      </w:r>
      <w:bookmarkEnd w:id="3"/>
      <w:r w:rsidRPr="00FD13D5">
        <w:rPr>
          <w:rFonts w:ascii="Tinos" w:eastAsia="Tinos" w:hAnsi="Tinos" w:cs="Tinos"/>
          <w:sz w:val="28"/>
        </w:rPr>
        <w:t xml:space="preserve">и внесении в него изменений осуществляется с применением профессионального суждения (обоснованного мнения) члена Коллегии </w:t>
      </w:r>
      <w:r w:rsidR="00F37925" w:rsidRPr="00F37925">
        <w:rPr>
          <w:rFonts w:ascii="Tinos" w:eastAsia="Tinos" w:hAnsi="Tinos" w:cs="Tinos"/>
          <w:sz w:val="28"/>
        </w:rPr>
        <w:t xml:space="preserve">Контрольно-счетной палаты Республики Ингушетия </w:t>
      </w:r>
      <w:r w:rsidRPr="00FD13D5">
        <w:rPr>
          <w:rFonts w:ascii="Tinos" w:eastAsia="Tinos" w:hAnsi="Tinos" w:cs="Tinos"/>
          <w:sz w:val="28"/>
        </w:rPr>
        <w:t>в отношении выбора предметов (тематики) контрольных (экспертно-аналитических) мероприятий, сформированного по результатам применения риск-ориентированного подхода.</w:t>
      </w:r>
    </w:p>
    <w:p w14:paraId="740ED674" w14:textId="48B1F456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2.1.6. Сформированное</w:t>
      </w:r>
      <w:r w:rsidR="00F37925">
        <w:rPr>
          <w:rFonts w:ascii="Tinos" w:eastAsia="Tinos" w:hAnsi="Tinos" w:cs="Tinos"/>
          <w:sz w:val="28"/>
        </w:rPr>
        <w:t>,</w:t>
      </w:r>
      <w:r w:rsidRPr="00FD13D5">
        <w:rPr>
          <w:rFonts w:ascii="Tinos" w:eastAsia="Tinos" w:hAnsi="Tinos" w:cs="Tinos"/>
          <w:sz w:val="28"/>
        </w:rPr>
        <w:t xml:space="preserve"> с применением профессионального суждения (обоснованного мнения) член</w:t>
      </w:r>
      <w:r w:rsidR="00F37925">
        <w:rPr>
          <w:rFonts w:ascii="Tinos" w:eastAsia="Tinos" w:hAnsi="Tinos" w:cs="Tinos"/>
          <w:sz w:val="28"/>
        </w:rPr>
        <w:t>ов</w:t>
      </w:r>
      <w:r w:rsidRPr="00FD13D5">
        <w:rPr>
          <w:rFonts w:ascii="Tinos" w:eastAsia="Tinos" w:hAnsi="Tinos" w:cs="Tinos"/>
          <w:sz w:val="28"/>
        </w:rPr>
        <w:t xml:space="preserve"> Коллегии </w:t>
      </w:r>
      <w:r w:rsidR="00F37925" w:rsidRPr="00F37925"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="00F37925">
        <w:rPr>
          <w:rFonts w:ascii="Tinos" w:eastAsia="Tinos" w:hAnsi="Tinos" w:cs="Tinos"/>
          <w:sz w:val="28"/>
        </w:rPr>
        <w:t>,</w:t>
      </w:r>
      <w:r w:rsidR="00F37925" w:rsidRPr="00F37925">
        <w:rPr>
          <w:rFonts w:ascii="Tinos" w:eastAsia="Tinos" w:hAnsi="Tinos" w:cs="Tinos"/>
          <w:sz w:val="28"/>
        </w:rPr>
        <w:t xml:space="preserve"> </w:t>
      </w:r>
      <w:r w:rsidR="00F37925">
        <w:rPr>
          <w:rFonts w:ascii="Tinos" w:eastAsia="Tinos" w:hAnsi="Tinos" w:cs="Tinos"/>
          <w:sz w:val="28"/>
        </w:rPr>
        <w:t xml:space="preserve">решение </w:t>
      </w:r>
      <w:r w:rsidRPr="00FD13D5">
        <w:rPr>
          <w:rFonts w:ascii="Tinos" w:eastAsia="Tinos" w:hAnsi="Tinos" w:cs="Tinos"/>
          <w:sz w:val="28"/>
        </w:rPr>
        <w:t xml:space="preserve">отражается в документах (служебной записке) с предложением о включении контрольных и экспертно-аналитических мероприятий в план работы </w:t>
      </w:r>
      <w:r w:rsidR="00F37925" w:rsidRPr="00F37925"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Pr="00FD13D5">
        <w:rPr>
          <w:rFonts w:ascii="Tinos" w:eastAsia="Tinos" w:hAnsi="Tinos" w:cs="Tinos"/>
          <w:sz w:val="28"/>
        </w:rPr>
        <w:t xml:space="preserve">. </w:t>
      </w:r>
    </w:p>
    <w:p w14:paraId="367314C9" w14:textId="0A759FDA" w:rsidR="00FD13D5" w:rsidRPr="00FD13D5" w:rsidRDefault="00FD13D5" w:rsidP="00F65B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245D94">
        <w:rPr>
          <w:rFonts w:ascii="Tinos" w:eastAsia="Tinos" w:hAnsi="Tinos" w:cs="Tinos"/>
          <w:sz w:val="28"/>
        </w:rPr>
        <w:t xml:space="preserve">2.1.7. Решение о включении контрольных (экспертно-аналитических) мероприятий в план работы принимается с учетом результатов обсуждения на заседании Коллегии </w:t>
      </w:r>
      <w:r w:rsidR="00F37925" w:rsidRPr="00245D94"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Pr="00245D94">
        <w:rPr>
          <w:rFonts w:ascii="Tinos" w:eastAsia="Tinos" w:hAnsi="Tinos" w:cs="Tinos"/>
          <w:sz w:val="28"/>
        </w:rPr>
        <w:t>.</w:t>
      </w:r>
    </w:p>
    <w:p w14:paraId="1C89B223" w14:textId="593B8F4D" w:rsidR="00863B8C" w:rsidRPr="00F65BE4" w:rsidRDefault="00FD13D5" w:rsidP="00F65B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i/>
          <w:iCs/>
          <w:sz w:val="28"/>
        </w:rPr>
      </w:pPr>
      <w:r w:rsidRPr="00F65BE4">
        <w:rPr>
          <w:rFonts w:ascii="Tinos" w:eastAsia="Tinos" w:hAnsi="Tinos" w:cs="Tinos"/>
          <w:i/>
          <w:iCs/>
          <w:sz w:val="28"/>
        </w:rPr>
        <w:t>2.2. Применение риск-ориентированного подхода при подготовке к проведению контрольного (экспертно-аналитического) мероприятия</w:t>
      </w:r>
    </w:p>
    <w:p w14:paraId="79713B5B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2.2.1. При подготовке к проведению контрольного (экспертно-аналитического) мероприятия руководителем контрольного (экспертно-аналитического) мероприятия организуется предварительное изучение предмета контрольного (экспертно-аналитического) мероприятия, ранжирование рисков нарушений, недостатков (негативных последствий), а также оценка аудиторского риска.</w:t>
      </w:r>
    </w:p>
    <w:p w14:paraId="07FEF9B0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В ходе подготовительного этапа контрольного или экспертно-аналитического мероприятия риск-ориентированный подход применяется для:</w:t>
      </w:r>
    </w:p>
    <w:p w14:paraId="5BBD9081" w14:textId="51A3C689" w:rsidR="00FD13D5" w:rsidRPr="00F65BE4" w:rsidRDefault="00FD13D5" w:rsidP="00F65BE4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F65BE4">
        <w:rPr>
          <w:rFonts w:ascii="Tinos" w:eastAsia="Tinos" w:hAnsi="Tinos" w:cs="Tinos"/>
          <w:sz w:val="28"/>
        </w:rPr>
        <w:t>определения целей и вопросов мероприятия;</w:t>
      </w:r>
    </w:p>
    <w:p w14:paraId="125D8E37" w14:textId="294C0FE1" w:rsidR="00FD13D5" w:rsidRPr="00F65BE4" w:rsidRDefault="00FD13D5" w:rsidP="00F65BE4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F65BE4">
        <w:rPr>
          <w:rFonts w:ascii="Tinos" w:eastAsia="Tinos" w:hAnsi="Tinos" w:cs="Tinos"/>
          <w:sz w:val="28"/>
        </w:rPr>
        <w:t>выбора методов осуществления внешнего государственного (муниципального) финансового контроля и состава процедур на основании оценки рисков в деятельности объекта контроля;</w:t>
      </w:r>
    </w:p>
    <w:p w14:paraId="2A25964B" w14:textId="2484AB4F" w:rsidR="00FD13D5" w:rsidRPr="00F65BE4" w:rsidRDefault="00FD13D5" w:rsidP="00F65BE4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F65BE4">
        <w:rPr>
          <w:rFonts w:ascii="Tinos" w:eastAsia="Tinos" w:hAnsi="Tinos" w:cs="Tinos"/>
          <w:sz w:val="28"/>
        </w:rPr>
        <w:t>оценки ресурсов, необходимых для проведения мероприятия;</w:t>
      </w:r>
    </w:p>
    <w:p w14:paraId="7F038B91" w14:textId="4D279AE5" w:rsidR="00FD13D5" w:rsidRPr="00F65BE4" w:rsidRDefault="00FD13D5" w:rsidP="00F65BE4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F65BE4">
        <w:rPr>
          <w:rFonts w:ascii="Tinos" w:eastAsia="Tinos" w:hAnsi="Tinos" w:cs="Tinos"/>
          <w:sz w:val="28"/>
        </w:rPr>
        <w:t>определения размера выборок с учетом оценки существенности и аудиторского риска.</w:t>
      </w:r>
    </w:p>
    <w:p w14:paraId="460E2F17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В этих целях изучаются: достигнутые и недостигнутые результаты деятельности объекта контроля, в том числе связанные с реализацией стратегических целей в соответствующей сфере социально-экономического развития; факторы, явления и недостатки процессов, оказывающие влияние на области рисков; ранее выявленные риски объекта контроля, нарушения и недостатки в его деятельности, в том числе носящие системный и систематический характер, и их причины.</w:t>
      </w:r>
    </w:p>
    <w:p w14:paraId="2931511C" w14:textId="0F53DD79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2.2.2. Ранжирование рисков нарушений, недостатков (негативных последствий) осуществляется по результатам оценки факторов рисков в порядке и сроки, которые установлены руководителем контрольного (экспертно-аналитического) мероприятия, после утверждения годового плана работы Счетной палаты</w:t>
      </w:r>
      <w:r w:rsidR="00671BF3">
        <w:rPr>
          <w:rFonts w:ascii="Tinos" w:eastAsia="Tinos" w:hAnsi="Tinos" w:cs="Tinos"/>
          <w:sz w:val="28"/>
        </w:rPr>
        <w:t xml:space="preserve"> </w:t>
      </w:r>
      <w:r w:rsidR="00671BF3" w:rsidRPr="00FD13D5">
        <w:rPr>
          <w:rFonts w:ascii="Tinos" w:eastAsia="Tinos" w:hAnsi="Tinos" w:cs="Tinos"/>
          <w:sz w:val="28"/>
        </w:rPr>
        <w:t>(приложение 2 к Стандарту)</w:t>
      </w:r>
      <w:r w:rsidRPr="00FD13D5">
        <w:rPr>
          <w:rFonts w:ascii="Tinos" w:eastAsia="Tinos" w:hAnsi="Tinos" w:cs="Tinos"/>
          <w:sz w:val="28"/>
        </w:rPr>
        <w:t>.</w:t>
      </w:r>
    </w:p>
    <w:p w14:paraId="64016B26" w14:textId="4E78FA32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2.2.3. По результатам ранжирования рисков нарушений, недостатков (негативных последствий) формируется и утверждается программа контрольного (экспертно-аналитического) мероприятия, включающая в том числе перечень </w:t>
      </w:r>
      <w:r w:rsidR="00010AF9" w:rsidRPr="00010AF9">
        <w:rPr>
          <w:rFonts w:ascii="Tinos" w:eastAsia="Tinos" w:hAnsi="Tinos" w:cs="Tinos"/>
          <w:sz w:val="28"/>
        </w:rPr>
        <w:t>объектов контроля</w:t>
      </w:r>
      <w:r w:rsidRPr="00010AF9">
        <w:rPr>
          <w:rFonts w:ascii="Tinos" w:eastAsia="Tinos" w:hAnsi="Tinos" w:cs="Tinos"/>
          <w:sz w:val="28"/>
        </w:rPr>
        <w:t xml:space="preserve"> (</w:t>
      </w:r>
      <w:r w:rsidR="00010AF9">
        <w:rPr>
          <w:rFonts w:ascii="Tinos" w:eastAsia="Tinos" w:hAnsi="Tinos" w:cs="Tinos"/>
          <w:sz w:val="28"/>
        </w:rPr>
        <w:t>в случае, если они</w:t>
      </w:r>
      <w:r w:rsidRPr="00FD13D5">
        <w:rPr>
          <w:rFonts w:ascii="Tinos" w:eastAsia="Tinos" w:hAnsi="Tinos" w:cs="Tinos"/>
          <w:sz w:val="28"/>
        </w:rPr>
        <w:t xml:space="preserve"> не указаны в наименовании контрольного (экспертно-аналитического) мероприятия).</w:t>
      </w:r>
    </w:p>
    <w:p w14:paraId="257871B0" w14:textId="11F71256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При необходимости по результатам ранжирования рисков нарушений, недостатков (негативных последствий) членом Коллегии (руководителем контрольного (экспертно-аналитического) мероприятия) может быть внесен вопрос об уточнении предмета контрольного (экспертно-аналитического) мероприятия или изменении метода контроля.</w:t>
      </w:r>
    </w:p>
    <w:p w14:paraId="7011FB25" w14:textId="348B5BA6" w:rsidR="00FD13D5" w:rsidRPr="00FD13D5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2.2.4. В ходе основного этапа контрольного (экспертно-аналитического) мероприятия руководителем и участниками контрольного мероприятия осуществляется идентификация новых рисков (агрегированных рисков), а также уточняются текущие характеристики ранее идентифицированных рисков (агрегированных рисков) в деятельности проверяемого органа (организации).</w:t>
      </w:r>
      <w:r w:rsidR="00750471">
        <w:rPr>
          <w:rFonts w:ascii="Tinos" w:eastAsia="Tinos" w:hAnsi="Tinos" w:cs="Tinos"/>
          <w:sz w:val="28"/>
        </w:rPr>
        <w:t xml:space="preserve"> </w:t>
      </w:r>
      <w:r w:rsidRPr="00FD13D5">
        <w:rPr>
          <w:rFonts w:ascii="Tinos" w:eastAsia="Tinos" w:hAnsi="Tinos" w:cs="Tinos"/>
          <w:sz w:val="28"/>
        </w:rPr>
        <w:t>Группы подлежащих идентификации рисков приведены в приложении 3 к настоящему Стандарту.</w:t>
      </w:r>
    </w:p>
    <w:p w14:paraId="7CDCABE1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Также риск-ориентированный подход применяется для:</w:t>
      </w:r>
    </w:p>
    <w:p w14:paraId="38BAD73E" w14:textId="574F40DC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1) управления аудиторским риском, в том числе путем корректировки объема запланированных программой и рабочим планом проведения мероприятия действий (процедур)</w:t>
      </w:r>
      <w:r w:rsidR="00750471">
        <w:rPr>
          <w:rFonts w:ascii="Tinos" w:eastAsia="Tinos" w:hAnsi="Tinos" w:cs="Tinos"/>
          <w:sz w:val="28"/>
        </w:rPr>
        <w:t xml:space="preserve"> и </w:t>
      </w:r>
      <w:r w:rsidRPr="00FD13D5">
        <w:rPr>
          <w:rFonts w:ascii="Tinos" w:eastAsia="Tinos" w:hAnsi="Tinos" w:cs="Tinos"/>
          <w:sz w:val="28"/>
        </w:rPr>
        <w:t>применяемых методов;</w:t>
      </w:r>
    </w:p>
    <w:p w14:paraId="72E02CC7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2) определения соответствия деятельности объекта контроля действующему законодательству Российской Федерации;</w:t>
      </w:r>
    </w:p>
    <w:p w14:paraId="1D22C488" w14:textId="66C146EC" w:rsid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3) оценки возможности достижения стратегических целей, целей деятельности объекта контроля (ожидаемое отклонение от целей) в рассматриваемый период времени с учетом имеющихся рисков и их характера.</w:t>
      </w:r>
    </w:p>
    <w:p w14:paraId="1FCAABF2" w14:textId="3D331F15" w:rsidR="004335FA" w:rsidRDefault="004335FA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20746266" w14:textId="2BEFA13F" w:rsidR="004335FA" w:rsidRPr="004335FA" w:rsidRDefault="004335FA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center"/>
        <w:rPr>
          <w:rFonts w:ascii="Tinos" w:eastAsia="Tinos" w:hAnsi="Tinos" w:cs="Tinos"/>
          <w:b/>
          <w:bCs/>
          <w:sz w:val="28"/>
        </w:rPr>
      </w:pPr>
      <w:r w:rsidRPr="004335FA">
        <w:rPr>
          <w:rFonts w:ascii="Tinos" w:eastAsia="Tinos" w:hAnsi="Tinos" w:cs="Tinos"/>
          <w:b/>
          <w:bCs/>
          <w:sz w:val="28"/>
        </w:rPr>
        <w:t>3. Заключительные положения</w:t>
      </w:r>
    </w:p>
    <w:p w14:paraId="6D3C3CFF" w14:textId="718F5C86" w:rsidR="004335FA" w:rsidRPr="00FD13D5" w:rsidRDefault="004335FA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 xml:space="preserve">3.1. Внесение изменений и дополнений в настоящий Стандарт осуществляется на основании решений Коллегии </w:t>
      </w:r>
      <w:r>
        <w:rPr>
          <w:rFonts w:ascii="Tinos" w:eastAsia="Tinos" w:hAnsi="Tinos" w:cs="Tinos"/>
          <w:sz w:val="28"/>
        </w:rPr>
        <w:t>Контрольно-счетной палаты Республики Ингушетия</w:t>
      </w:r>
      <w:r w:rsidRPr="004335FA">
        <w:rPr>
          <w:rFonts w:ascii="Tinos" w:eastAsia="Tinos" w:hAnsi="Tinos" w:cs="Tinos"/>
          <w:sz w:val="28"/>
        </w:rPr>
        <w:t xml:space="preserve"> в связи с изменениями законодательства или по результатам обобщения практики применения риск-ориентированного подхода.</w:t>
      </w:r>
    </w:p>
    <w:p w14:paraId="01252C9E" w14:textId="0A2D5AB4" w:rsidR="00FD13D5" w:rsidRPr="00FD13D5" w:rsidRDefault="004335FA" w:rsidP="004335FA">
      <w:pPr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br w:type="page"/>
      </w:r>
    </w:p>
    <w:p w14:paraId="090BD84F" w14:textId="77777777" w:rsidR="00FD13D5" w:rsidRPr="004335FA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24"/>
        <w:jc w:val="center"/>
        <w:rPr>
          <w:rFonts w:ascii="Tinos" w:eastAsia="Tinos" w:hAnsi="Tinos" w:cs="Tinos"/>
          <w:sz w:val="28"/>
          <w:szCs w:val="28"/>
        </w:rPr>
      </w:pPr>
      <w:r w:rsidRPr="004335FA">
        <w:rPr>
          <w:rFonts w:ascii="Tinos" w:eastAsia="Tinos" w:hAnsi="Tinos" w:cs="Tinos"/>
          <w:sz w:val="28"/>
          <w:szCs w:val="28"/>
        </w:rPr>
        <w:t>Приложение 1</w:t>
      </w:r>
    </w:p>
    <w:p w14:paraId="26760ACB" w14:textId="77777777" w:rsidR="00FD13D5" w:rsidRPr="004335FA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24"/>
        <w:jc w:val="center"/>
        <w:rPr>
          <w:rFonts w:ascii="Tinos" w:eastAsia="Tinos" w:hAnsi="Tinos" w:cs="Tinos"/>
          <w:sz w:val="28"/>
          <w:szCs w:val="28"/>
        </w:rPr>
      </w:pPr>
      <w:r w:rsidRPr="004335FA">
        <w:rPr>
          <w:rFonts w:ascii="Tinos" w:eastAsia="Tinos" w:hAnsi="Tinos" w:cs="Tinos"/>
          <w:sz w:val="28"/>
          <w:szCs w:val="28"/>
        </w:rPr>
        <w:t>к Стандарту</w:t>
      </w:r>
    </w:p>
    <w:p w14:paraId="1988DB26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324C0CA2" w14:textId="50F0D78F" w:rsidR="00FD13D5" w:rsidRPr="00750471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center"/>
        <w:rPr>
          <w:rFonts w:ascii="Tinos" w:eastAsia="Tinos" w:hAnsi="Tinos" w:cs="Tinos"/>
          <w:b/>
          <w:bCs/>
          <w:sz w:val="28"/>
        </w:rPr>
      </w:pPr>
      <w:bookmarkStart w:id="4" w:name="_Hlk241237734"/>
      <w:r w:rsidRPr="00750471">
        <w:rPr>
          <w:rFonts w:ascii="Tinos" w:eastAsia="Tinos" w:hAnsi="Tinos" w:cs="Tinos"/>
          <w:b/>
          <w:bCs/>
          <w:sz w:val="28"/>
        </w:rPr>
        <w:t>Базовые риски, подлежащие оценке</w:t>
      </w:r>
    </w:p>
    <w:p w14:paraId="2A8D75CC" w14:textId="160115E2" w:rsidR="00FD13D5" w:rsidRPr="00750471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center"/>
        <w:rPr>
          <w:rFonts w:ascii="Tinos" w:eastAsia="Tinos" w:hAnsi="Tinos" w:cs="Tinos"/>
          <w:b/>
          <w:bCs/>
          <w:sz w:val="28"/>
        </w:rPr>
      </w:pPr>
      <w:r w:rsidRPr="00750471">
        <w:rPr>
          <w:rFonts w:ascii="Tinos" w:eastAsia="Tinos" w:hAnsi="Tinos" w:cs="Tinos"/>
          <w:b/>
          <w:bCs/>
          <w:sz w:val="28"/>
        </w:rPr>
        <w:t xml:space="preserve">при планировании деятельности </w:t>
      </w:r>
      <w:r w:rsidR="00010AF9">
        <w:rPr>
          <w:rFonts w:ascii="Tinos" w:eastAsia="Tinos" w:hAnsi="Tinos" w:cs="Tinos"/>
          <w:b/>
          <w:bCs/>
          <w:sz w:val="28"/>
        </w:rPr>
        <w:t xml:space="preserve">Контрольно-счетной палаты Республики Ингушетия </w:t>
      </w:r>
      <w:r w:rsidRPr="00750471">
        <w:rPr>
          <w:rFonts w:ascii="Tinos" w:eastAsia="Tinos" w:hAnsi="Tinos" w:cs="Tinos"/>
          <w:b/>
          <w:bCs/>
          <w:sz w:val="28"/>
        </w:rPr>
        <w:t xml:space="preserve">в целях </w:t>
      </w:r>
      <w:proofErr w:type="spellStart"/>
      <w:r w:rsidRPr="00750471">
        <w:rPr>
          <w:rFonts w:ascii="Tinos" w:eastAsia="Tinos" w:hAnsi="Tinos" w:cs="Tinos"/>
          <w:b/>
          <w:bCs/>
          <w:sz w:val="28"/>
        </w:rPr>
        <w:t>приоритизации</w:t>
      </w:r>
      <w:proofErr w:type="spellEnd"/>
    </w:p>
    <w:p w14:paraId="0FECEFE0" w14:textId="77777777" w:rsidR="00FD13D5" w:rsidRPr="00FD13D5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center"/>
        <w:rPr>
          <w:rFonts w:ascii="Tinos" w:eastAsia="Tinos" w:hAnsi="Tinos" w:cs="Tinos"/>
          <w:sz w:val="28"/>
        </w:rPr>
      </w:pPr>
      <w:r w:rsidRPr="00750471">
        <w:rPr>
          <w:rFonts w:ascii="Tinos" w:eastAsia="Tinos" w:hAnsi="Tinos" w:cs="Tinos"/>
          <w:b/>
          <w:bCs/>
          <w:sz w:val="28"/>
        </w:rPr>
        <w:t>контрольных (экспертно-аналитических) мероприятий</w:t>
      </w:r>
    </w:p>
    <w:bookmarkEnd w:id="4"/>
    <w:p w14:paraId="0FBB12E9" w14:textId="77777777" w:rsidR="00FD13D5" w:rsidRPr="00FD13D5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16D12068" w14:textId="77CBA9BB" w:rsidR="00FD13D5" w:rsidRPr="00FD13D5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 xml:space="preserve">1. Недостижение целей и задач контрольных и экспертно-аналитических мероприятий, проводимых </w:t>
      </w:r>
      <w:r w:rsidR="00750471">
        <w:rPr>
          <w:rFonts w:ascii="Tinos" w:eastAsia="Tinos" w:hAnsi="Tinos" w:cs="Tinos"/>
          <w:sz w:val="28"/>
        </w:rPr>
        <w:t>Контрольно-счетной палатой Республики Ингушетия</w:t>
      </w:r>
      <w:r w:rsidRPr="00FD13D5">
        <w:rPr>
          <w:rFonts w:ascii="Tinos" w:eastAsia="Tinos" w:hAnsi="Tinos" w:cs="Tinos"/>
          <w:sz w:val="28"/>
        </w:rPr>
        <w:t xml:space="preserve">, прямо указанных в законодательстве Российской Федерации и Республики </w:t>
      </w:r>
      <w:r w:rsidR="00750471">
        <w:rPr>
          <w:rFonts w:ascii="Tinos" w:eastAsia="Tinos" w:hAnsi="Tinos" w:cs="Tinos"/>
          <w:sz w:val="28"/>
        </w:rPr>
        <w:t>Ингушетия</w:t>
      </w:r>
      <w:r w:rsidRPr="00FD13D5">
        <w:rPr>
          <w:rFonts w:ascii="Tinos" w:eastAsia="Tinos" w:hAnsi="Tinos" w:cs="Tinos"/>
          <w:sz w:val="28"/>
        </w:rPr>
        <w:t xml:space="preserve">. </w:t>
      </w:r>
    </w:p>
    <w:p w14:paraId="6FD4EC40" w14:textId="77777777" w:rsidR="00FD13D5" w:rsidRPr="00FD13D5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 Невыполнение (в полном объеме либо частично) полномочий по внешнему государственному финансовому контролю в связи с ненадлежащими выводами в части определения областей рисков при планировании тематических мероприятий.</w:t>
      </w:r>
    </w:p>
    <w:p w14:paraId="56785579" w14:textId="77777777" w:rsidR="00FD13D5" w:rsidRPr="00FD13D5" w:rsidRDefault="00FD13D5" w:rsidP="007504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3. Дублирование деятельности региональных органов государственного финансового контроля.</w:t>
      </w:r>
    </w:p>
    <w:p w14:paraId="6173F778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4. Невостребованность (низкая востребованность) предполагаемых результатов контрольных и экспертно-аналитических мероприятий ввиду отсутствия их значимого влияния на повышение эффективности использования публичных ресурсов, на достижение целей социально-экономического развития публично-правового образования.</w:t>
      </w:r>
    </w:p>
    <w:p w14:paraId="38E9A1BE" w14:textId="7CB72AB1" w:rsidR="004335FA" w:rsidRDefault="004335FA">
      <w:pPr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br w:type="page"/>
      </w:r>
    </w:p>
    <w:p w14:paraId="45151A11" w14:textId="77777777" w:rsidR="00FD13D5" w:rsidRPr="00FD13D5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230"/>
        <w:jc w:val="center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Приложение 2</w:t>
      </w:r>
    </w:p>
    <w:p w14:paraId="5595E534" w14:textId="77777777" w:rsidR="00FD13D5" w:rsidRPr="00FD13D5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230"/>
        <w:jc w:val="center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к Стандарту</w:t>
      </w:r>
    </w:p>
    <w:p w14:paraId="7286CC5C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385AE8C6" w14:textId="77777777" w:rsidR="00FD13D5" w:rsidRPr="004335FA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center"/>
        <w:rPr>
          <w:rFonts w:ascii="Tinos" w:eastAsia="Tinos" w:hAnsi="Tinos" w:cs="Tinos"/>
          <w:b/>
          <w:bCs/>
          <w:sz w:val="28"/>
        </w:rPr>
      </w:pPr>
      <w:r w:rsidRPr="004335FA">
        <w:rPr>
          <w:rFonts w:ascii="Tinos" w:eastAsia="Tinos" w:hAnsi="Tinos" w:cs="Tinos"/>
          <w:b/>
          <w:bCs/>
          <w:sz w:val="28"/>
        </w:rPr>
        <w:t>Факторы риска нарушений, недостатков (негативных последствий), подлежащие оценке в ходе подготовки к проведению контрольного (экспертно-аналитического) мероприятия</w:t>
      </w:r>
    </w:p>
    <w:p w14:paraId="12A0B771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3AAA36C7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1. Факты проведения контрольных (экспертно-аналитических) мероприятий в отношении проверяемых органов (организаций) реже, чем один раз в пять лет.</w:t>
      </w:r>
    </w:p>
    <w:p w14:paraId="2F044A22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2. Факты нарушений (недостатков), выявленных в ходе контрольных (экспертно-аналитических) мероприятий.</w:t>
      </w:r>
    </w:p>
    <w:p w14:paraId="529CCC06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3. Наличие идентифицированных рисков негативных последствий по выявленным нарушениям (недостаткам), иным фактам, выявленным в прошлые периоды времени.</w:t>
      </w:r>
    </w:p>
    <w:p w14:paraId="644BDB91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4. Отклонение хода (несоблюдение сроков) реализации мероприятий государственных программ, региональных проектов, недостижение заданных показателей государственных программ, региональных проектов.</w:t>
      </w:r>
    </w:p>
    <w:p w14:paraId="4D333E44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5. Существенность искажения информации, выявленный по итогам проведенных контрольных (экспертно-аналитических) мероприятий.</w:t>
      </w:r>
    </w:p>
    <w:p w14:paraId="41E88275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6. Принятие проверяемым органом (организацией) мер, не оказавших влияние на предотвращение нарушений, недостатков (негативных последствий), выявленных в прошлые периоды.</w:t>
      </w:r>
    </w:p>
    <w:p w14:paraId="0FE18E7C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7. Наличие обращений граждан, организаций (их представителей) по наиболее резонансным (общественно значимым) вопросам, касающимся предмета контрольного (экспертно-аналитического) мероприятия, рассмотренных Счетной палатой по существу в рамках установленной компетенции.</w:t>
      </w:r>
    </w:p>
    <w:p w14:paraId="5B23E591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8. Иные факторы риска нарушений, недостатков (негативных последствий), предусмотренные методическими документами.</w:t>
      </w:r>
    </w:p>
    <w:p w14:paraId="0B2AC033" w14:textId="30AE7B46" w:rsidR="004335FA" w:rsidRDefault="004335FA">
      <w:pPr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br w:type="page"/>
      </w:r>
    </w:p>
    <w:p w14:paraId="0A1EC150" w14:textId="77777777" w:rsidR="00FD13D5" w:rsidRPr="00FD13D5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513"/>
        <w:jc w:val="center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Приложение 3</w:t>
      </w:r>
    </w:p>
    <w:p w14:paraId="58EABE67" w14:textId="77777777" w:rsidR="00FD13D5" w:rsidRPr="00FD13D5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513"/>
        <w:jc w:val="center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к Стандарту</w:t>
      </w:r>
    </w:p>
    <w:p w14:paraId="409752EE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</w:p>
    <w:p w14:paraId="08554251" w14:textId="77777777" w:rsidR="00FD13D5" w:rsidRPr="004335FA" w:rsidRDefault="00FD13D5" w:rsidP="004335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center"/>
        <w:rPr>
          <w:rFonts w:ascii="Tinos" w:eastAsia="Tinos" w:hAnsi="Tinos" w:cs="Tinos"/>
          <w:b/>
          <w:bCs/>
          <w:sz w:val="28"/>
        </w:rPr>
      </w:pPr>
      <w:r w:rsidRPr="004335FA">
        <w:rPr>
          <w:rFonts w:ascii="Tinos" w:eastAsia="Tinos" w:hAnsi="Tinos" w:cs="Tinos"/>
          <w:b/>
          <w:bCs/>
          <w:sz w:val="28"/>
        </w:rPr>
        <w:t>Группы рисков, подлежащих идентификации при проведении контрольных (экспертно-аналитических) мероприятий:</w:t>
      </w:r>
    </w:p>
    <w:p w14:paraId="49DDC656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1) риски, исчисляемые в денежном выражении, в том числе:</w:t>
      </w:r>
    </w:p>
    <w:p w14:paraId="5C0EB1D3" w14:textId="48E2BBE6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непоступление (недопоступление) бюджетных средств (упущенная выгода);</w:t>
      </w:r>
    </w:p>
    <w:p w14:paraId="3AC8CAA9" w14:textId="2737BF5E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избыточные расходы бюджетных средств;</w:t>
      </w:r>
    </w:p>
    <w:p w14:paraId="44139B86" w14:textId="662F51BD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искажение показателя бюджетной или бухгалтерской (финансовой) отчетности;</w:t>
      </w:r>
    </w:p>
    <w:p w14:paraId="3F422D42" w14:textId="2F0F0F7C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ущерб;</w:t>
      </w:r>
    </w:p>
    <w:p w14:paraId="68CF250D" w14:textId="5D950405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нецелевое использование бюджетных средств;</w:t>
      </w:r>
    </w:p>
    <w:p w14:paraId="6DCD4906" w14:textId="712A9063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безрезультативные расходы бюджетных средств;</w:t>
      </w:r>
    </w:p>
    <w:p w14:paraId="77775B32" w14:textId="48D7FD99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утрата государственных (муниципальных) средств;</w:t>
      </w:r>
    </w:p>
    <w:p w14:paraId="38F27C49" w14:textId="307DD6FC" w:rsidR="00FD13D5" w:rsidRPr="004335FA" w:rsidRDefault="00FD13D5" w:rsidP="004335FA">
      <w:pPr>
        <w:pStyle w:val="a3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иные риски, исчисляемые в денежном выражении.</w:t>
      </w:r>
    </w:p>
    <w:p w14:paraId="4996BE62" w14:textId="77777777" w:rsidR="00FD13D5" w:rsidRPr="00FD13D5" w:rsidRDefault="00FD13D5" w:rsidP="00FD13D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2" w:lineRule="auto"/>
        <w:ind w:firstLine="708"/>
        <w:jc w:val="both"/>
        <w:rPr>
          <w:rFonts w:ascii="Tinos" w:eastAsia="Tinos" w:hAnsi="Tinos" w:cs="Tinos"/>
          <w:sz w:val="28"/>
        </w:rPr>
      </w:pPr>
      <w:r w:rsidRPr="00FD13D5">
        <w:rPr>
          <w:rFonts w:ascii="Tinos" w:eastAsia="Tinos" w:hAnsi="Tinos" w:cs="Tinos"/>
          <w:sz w:val="28"/>
        </w:rPr>
        <w:t>2) риски, исчисляемые в неденежном выражении, в том числе:</w:t>
      </w:r>
    </w:p>
    <w:p w14:paraId="3712827B" w14:textId="2A783528" w:rsidR="00FD13D5" w:rsidRPr="004335FA" w:rsidRDefault="00FD13D5" w:rsidP="004335FA">
      <w:pPr>
        <w:pStyle w:val="a3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276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недостижение заданных показателей (индикаторов) реализации государственных (муниципальных) программ, региональных проектов в установленные сроки;</w:t>
      </w:r>
    </w:p>
    <w:p w14:paraId="5C246A18" w14:textId="5B0E16A7" w:rsidR="00FD13D5" w:rsidRPr="004335FA" w:rsidRDefault="00FD13D5" w:rsidP="004335FA">
      <w:pPr>
        <w:pStyle w:val="a3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276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невыполнение государственного (муниципального) задания по объему и качеству предоставляемых государственных (муниципальных) услуг (выполняемых работ);</w:t>
      </w:r>
    </w:p>
    <w:p w14:paraId="7C070A82" w14:textId="26B3BBCE" w:rsidR="00FD13D5" w:rsidRPr="004335FA" w:rsidRDefault="00FD13D5" w:rsidP="004335FA">
      <w:pPr>
        <w:pStyle w:val="a3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276"/>
        </w:tabs>
        <w:spacing w:after="0" w:line="242" w:lineRule="auto"/>
        <w:ind w:left="0" w:firstLine="709"/>
        <w:jc w:val="both"/>
        <w:rPr>
          <w:rFonts w:ascii="Tinos" w:eastAsia="Tinos" w:hAnsi="Tinos" w:cs="Tinos"/>
          <w:sz w:val="28"/>
        </w:rPr>
      </w:pPr>
      <w:r w:rsidRPr="004335FA">
        <w:rPr>
          <w:rFonts w:ascii="Tinos" w:eastAsia="Tinos" w:hAnsi="Tinos" w:cs="Tinos"/>
          <w:sz w:val="28"/>
        </w:rPr>
        <w:t>иные риски, исчисляемые в неденежном выражении.</w:t>
      </w:r>
    </w:p>
    <w:p w14:paraId="42891D8D" w14:textId="77777777" w:rsidR="007F2B8A" w:rsidRDefault="007F2B8A" w:rsidP="0011606C">
      <w:pPr>
        <w:jc w:val="both"/>
      </w:pPr>
    </w:p>
    <w:sectPr w:rsidR="007F2B8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1B876" w14:textId="77777777" w:rsidR="00B02C6C" w:rsidRDefault="00B02C6C">
      <w:pPr>
        <w:spacing w:after="0" w:line="240" w:lineRule="auto"/>
      </w:pPr>
      <w:r>
        <w:separator/>
      </w:r>
    </w:p>
  </w:endnote>
  <w:endnote w:type="continuationSeparator" w:id="0">
    <w:p w14:paraId="06620640" w14:textId="77777777" w:rsidR="00B02C6C" w:rsidRDefault="00B02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499E03" w14:textId="77777777" w:rsidR="001D614B" w:rsidRDefault="00A635E8">
    <w:pPr>
      <w:pStyle w:val="a4"/>
      <w:jc w:val="right"/>
    </w:pPr>
  </w:p>
  <w:p w14:paraId="453FA0F2" w14:textId="77777777" w:rsidR="001D614B" w:rsidRDefault="00A635E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101262"/>
      <w:docPartObj>
        <w:docPartGallery w:val="Page Numbers (Bottom of Page)"/>
        <w:docPartUnique/>
      </w:docPartObj>
    </w:sdtPr>
    <w:sdtEndPr/>
    <w:sdtContent>
      <w:p w14:paraId="7F8079FA" w14:textId="77777777" w:rsidR="00DC15C3" w:rsidRDefault="00E86E4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5E8">
          <w:rPr>
            <w:noProof/>
          </w:rPr>
          <w:t>2</w:t>
        </w:r>
        <w:r>
          <w:fldChar w:fldCharType="end"/>
        </w:r>
      </w:p>
    </w:sdtContent>
  </w:sdt>
  <w:p w14:paraId="7ED47995" w14:textId="77777777" w:rsidR="00DC15C3" w:rsidRDefault="00A635E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32832" w14:textId="77777777" w:rsidR="00B02C6C" w:rsidRDefault="00B02C6C">
      <w:pPr>
        <w:spacing w:after="0" w:line="240" w:lineRule="auto"/>
      </w:pPr>
      <w:r>
        <w:separator/>
      </w:r>
    </w:p>
  </w:footnote>
  <w:footnote w:type="continuationSeparator" w:id="0">
    <w:p w14:paraId="6FFE9120" w14:textId="77777777" w:rsidR="00B02C6C" w:rsidRDefault="00B02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0CAD"/>
    <w:multiLevelType w:val="hybridMultilevel"/>
    <w:tmpl w:val="F18890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D276AB"/>
    <w:multiLevelType w:val="hybridMultilevel"/>
    <w:tmpl w:val="A4B64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52CDB"/>
    <w:multiLevelType w:val="hybridMultilevel"/>
    <w:tmpl w:val="F7E25E92"/>
    <w:lvl w:ilvl="0" w:tplc="A1C6DA7A">
      <w:start w:val="1"/>
      <w:numFmt w:val="decimal"/>
      <w:lvlText w:val="%1."/>
      <w:lvlJc w:val="left"/>
    </w:lvl>
    <w:lvl w:ilvl="1" w:tplc="39C00CA6">
      <w:start w:val="1"/>
      <w:numFmt w:val="lowerLetter"/>
      <w:lvlText w:val="%2."/>
      <w:lvlJc w:val="left"/>
      <w:pPr>
        <w:ind w:left="1440" w:hanging="360"/>
      </w:pPr>
    </w:lvl>
    <w:lvl w:ilvl="2" w:tplc="85C45806">
      <w:start w:val="1"/>
      <w:numFmt w:val="lowerRoman"/>
      <w:lvlText w:val="%3."/>
      <w:lvlJc w:val="right"/>
      <w:pPr>
        <w:ind w:left="2160" w:hanging="180"/>
      </w:pPr>
    </w:lvl>
    <w:lvl w:ilvl="3" w:tplc="33FCBEEC">
      <w:start w:val="1"/>
      <w:numFmt w:val="decimal"/>
      <w:lvlText w:val="%4."/>
      <w:lvlJc w:val="left"/>
      <w:pPr>
        <w:ind w:left="2880" w:hanging="360"/>
      </w:pPr>
    </w:lvl>
    <w:lvl w:ilvl="4" w:tplc="F990C98C">
      <w:start w:val="1"/>
      <w:numFmt w:val="lowerLetter"/>
      <w:lvlText w:val="%5."/>
      <w:lvlJc w:val="left"/>
      <w:pPr>
        <w:ind w:left="3600" w:hanging="360"/>
      </w:pPr>
    </w:lvl>
    <w:lvl w:ilvl="5" w:tplc="BCF6BF98">
      <w:start w:val="1"/>
      <w:numFmt w:val="lowerRoman"/>
      <w:lvlText w:val="%6."/>
      <w:lvlJc w:val="right"/>
      <w:pPr>
        <w:ind w:left="4320" w:hanging="180"/>
      </w:pPr>
    </w:lvl>
    <w:lvl w:ilvl="6" w:tplc="99F6E570">
      <w:start w:val="1"/>
      <w:numFmt w:val="decimal"/>
      <w:lvlText w:val="%7."/>
      <w:lvlJc w:val="left"/>
      <w:pPr>
        <w:ind w:left="5040" w:hanging="360"/>
      </w:pPr>
    </w:lvl>
    <w:lvl w:ilvl="7" w:tplc="8402BDDA">
      <w:start w:val="1"/>
      <w:numFmt w:val="lowerLetter"/>
      <w:lvlText w:val="%8."/>
      <w:lvlJc w:val="left"/>
      <w:pPr>
        <w:ind w:left="5760" w:hanging="360"/>
      </w:pPr>
    </w:lvl>
    <w:lvl w:ilvl="8" w:tplc="C694D6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D7AF4"/>
    <w:multiLevelType w:val="hybridMultilevel"/>
    <w:tmpl w:val="7BD06C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EBB75A4"/>
    <w:multiLevelType w:val="hybridMultilevel"/>
    <w:tmpl w:val="D0AE48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39D4F17"/>
    <w:multiLevelType w:val="hybridMultilevel"/>
    <w:tmpl w:val="E5B877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7A95943"/>
    <w:multiLevelType w:val="hybridMultilevel"/>
    <w:tmpl w:val="4D808E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56376D3"/>
    <w:multiLevelType w:val="hybridMultilevel"/>
    <w:tmpl w:val="2FDA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CE"/>
    <w:rsid w:val="00010AF9"/>
    <w:rsid w:val="0011606C"/>
    <w:rsid w:val="00245D94"/>
    <w:rsid w:val="00292B08"/>
    <w:rsid w:val="002F220C"/>
    <w:rsid w:val="003339CE"/>
    <w:rsid w:val="004335FA"/>
    <w:rsid w:val="00441221"/>
    <w:rsid w:val="00507BAF"/>
    <w:rsid w:val="005E5568"/>
    <w:rsid w:val="00671BF3"/>
    <w:rsid w:val="00750471"/>
    <w:rsid w:val="007F2B8A"/>
    <w:rsid w:val="00863B8C"/>
    <w:rsid w:val="008A3B1C"/>
    <w:rsid w:val="00996336"/>
    <w:rsid w:val="009D7275"/>
    <w:rsid w:val="00A635E8"/>
    <w:rsid w:val="00B02C6C"/>
    <w:rsid w:val="00B139FE"/>
    <w:rsid w:val="00BB3E60"/>
    <w:rsid w:val="00C2597F"/>
    <w:rsid w:val="00CF4BB0"/>
    <w:rsid w:val="00E347CF"/>
    <w:rsid w:val="00E86E43"/>
    <w:rsid w:val="00F37925"/>
    <w:rsid w:val="00F65BE4"/>
    <w:rsid w:val="00FD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ABF3"/>
  <w15:chartTrackingRefBased/>
  <w15:docId w15:val="{4AD547E6-A980-47C6-9B02-F85E69C8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C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333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33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11</Pages>
  <Words>2725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ОКА</dc:creator>
  <cp:keywords/>
  <dc:description/>
  <cp:lastModifiedBy>Руководитель Аппарата</cp:lastModifiedBy>
  <cp:revision>9</cp:revision>
  <cp:lastPrinted>2026-09-25T11:00:00Z</cp:lastPrinted>
  <dcterms:created xsi:type="dcterms:W3CDTF">2026-09-24T07:41:00Z</dcterms:created>
  <dcterms:modified xsi:type="dcterms:W3CDTF">2026-09-25T13:45:00Z</dcterms:modified>
</cp:coreProperties>
</file>